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440"/>
        <w:gridCol w:w="1195"/>
        <w:gridCol w:w="1449"/>
        <w:gridCol w:w="280"/>
        <w:gridCol w:w="760"/>
        <w:gridCol w:w="2220"/>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4A1D9A">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4A1D9A">
              <w:rPr>
                <w:rFonts w:ascii="Arial" w:hAnsi="Arial" w:cs="Arial"/>
                <w:color w:val="0F243E" w:themeColor="text2" w:themeShade="80"/>
              </w:rPr>
              <w:t>TEORICO</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r w:rsidR="004A1D9A">
              <w:rPr>
                <w:rFonts w:ascii="Arial" w:hAnsi="Arial" w:cs="Arial"/>
                <w:color w:val="0F243E" w:themeColor="text2" w:themeShade="80"/>
              </w:rPr>
              <w:t xml:space="preserve"> JURIDICO</w:t>
            </w: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r w:rsidR="004A1D9A">
              <w:rPr>
                <w:rFonts w:ascii="Arial" w:hAnsi="Arial" w:cs="Arial"/>
                <w:color w:val="0F243E" w:themeColor="text2" w:themeShade="80"/>
              </w:rPr>
              <w:t xml:space="preserve"> PRIVADO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4A1D9A">
              <w:rPr>
                <w:rFonts w:ascii="Arial" w:hAnsi="Arial" w:cs="Arial"/>
                <w:color w:val="0F243E" w:themeColor="text2" w:themeShade="80"/>
              </w:rPr>
              <w:t xml:space="preserve"> VI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r w:rsidR="004A1D9A">
              <w:rPr>
                <w:rFonts w:ascii="Arial" w:hAnsi="Arial" w:cs="Arial"/>
                <w:b/>
                <w:color w:val="0F243E" w:themeColor="text2" w:themeShade="80"/>
              </w:rPr>
              <w:t>MECANISMOS ALTERNATIVOS DE SOLUCION DE CONFLICTOS</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FE7FF8">
              <w:rPr>
                <w:rFonts w:ascii="Arial" w:hAnsi="Arial" w:cs="Arial"/>
                <w:color w:val="0F243E" w:themeColor="text2" w:themeShade="80"/>
              </w:rPr>
              <w:sym w:font="Wingdings" w:char="F06F"/>
            </w:r>
            <w:r w:rsidR="004A1D9A">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4A1D9A" w:rsidP="00CC21F3">
            <w:pPr>
              <w:rPr>
                <w:rFonts w:ascii="Arial" w:hAnsi="Arial" w:cs="Arial"/>
                <w:b/>
                <w:color w:val="0F243E" w:themeColor="text2" w:themeShade="80"/>
              </w:rPr>
            </w:pPr>
            <w:r>
              <w:rPr>
                <w:rFonts w:ascii="Arial" w:hAnsi="Arial" w:cs="Arial"/>
                <w:b/>
                <w:color w:val="0F243E" w:themeColor="text2" w:themeShade="80"/>
              </w:rPr>
              <w:t>20605</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4A1D9A">
              <w:rPr>
                <w:rFonts w:ascii="Arial" w:hAnsi="Arial" w:cs="Arial"/>
                <w:b/>
                <w:color w:val="0F243E" w:themeColor="text2" w:themeShade="80"/>
              </w:rPr>
              <w:t>2</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0"/>
        <w:gridCol w:w="2649"/>
        <w:gridCol w:w="3595"/>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4A1D9A">
              <w:rPr>
                <w:rFonts w:ascii="Arial" w:hAnsi="Arial" w:cs="Arial"/>
                <w:color w:val="0F243E" w:themeColor="text2" w:themeShade="80"/>
              </w:rPr>
              <w:t xml:space="preserve"> 4</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B40717">
              <w:rPr>
                <w:rFonts w:ascii="Arial" w:hAnsi="Arial" w:cs="Arial"/>
                <w:color w:val="0F243E" w:themeColor="text2" w:themeShade="80"/>
              </w:rPr>
              <w:t xml:space="preserve"> 16</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B40717">
              <w:rPr>
                <w:rFonts w:ascii="Arial" w:hAnsi="Arial" w:cs="Arial"/>
                <w:color w:val="0F243E" w:themeColor="text2" w:themeShade="80"/>
              </w:rPr>
              <w:t xml:space="preserve"> 2</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B40717">
              <w:rPr>
                <w:rFonts w:ascii="Arial" w:hAnsi="Arial" w:cs="Arial"/>
                <w:color w:val="0F243E" w:themeColor="text2" w:themeShade="80"/>
              </w:rPr>
              <w:t>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B40717">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Total Horas Semestre:</w:t>
            </w:r>
            <w:r w:rsidR="00B40717">
              <w:rPr>
                <w:rFonts w:ascii="Arial" w:hAnsi="Arial" w:cs="Arial"/>
                <w:color w:val="0F243E" w:themeColor="text2" w:themeShade="80"/>
              </w:rPr>
              <w:t>80</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2"/>
        <w:gridCol w:w="2673"/>
        <w:gridCol w:w="391"/>
        <w:gridCol w:w="3098"/>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B40717">
              <w:rPr>
                <w:rFonts w:ascii="Arial" w:hAnsi="Arial" w:cs="Arial"/>
                <w:color w:val="0F243E" w:themeColor="text2" w:themeShade="80"/>
              </w:rPr>
              <w:t>4</w:t>
            </w:r>
          </w:p>
        </w:tc>
        <w:tc>
          <w:tcPr>
            <w:tcW w:w="3285" w:type="dxa"/>
            <w:gridSpan w:val="2"/>
            <w:tcBorders>
              <w:right w:val="single" w:sz="4" w:space="0" w:color="auto"/>
            </w:tcBorders>
          </w:tcPr>
          <w:p w:rsidR="009D3B04" w:rsidRDefault="009D3B04" w:rsidP="00B40717">
            <w:pPr>
              <w:rPr>
                <w:rFonts w:ascii="Arial" w:hAnsi="Arial" w:cs="Arial"/>
                <w:color w:val="0F243E" w:themeColor="text2" w:themeShade="80"/>
              </w:rPr>
            </w:pPr>
            <w:r>
              <w:rPr>
                <w:rFonts w:ascii="Arial" w:hAnsi="Arial" w:cs="Arial"/>
                <w:color w:val="0F243E" w:themeColor="text2" w:themeShade="80"/>
              </w:rPr>
              <w:t>Horas Mes:</w:t>
            </w:r>
            <w:r w:rsidR="00B40717">
              <w:rPr>
                <w:rFonts w:ascii="Arial" w:hAnsi="Arial" w:cs="Arial"/>
                <w:color w:val="0F243E" w:themeColor="text2" w:themeShade="80"/>
              </w:rPr>
              <w:t>16</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B40717">
              <w:rPr>
                <w:rFonts w:ascii="Arial" w:hAnsi="Arial" w:cs="Arial"/>
                <w:color w:val="0F243E" w:themeColor="text2" w:themeShade="80"/>
              </w:rPr>
              <w:t>80</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Total de Tiempo de Trabajo Académico</w:t>
            </w:r>
            <w:r w:rsidR="00B40717">
              <w:rPr>
                <w:rFonts w:ascii="Arial" w:hAnsi="Arial" w:cs="Arial"/>
                <w:color w:val="0F243E" w:themeColor="text2" w:themeShade="80"/>
              </w:rPr>
              <w:t xml:space="preserve"> 160</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r w:rsidR="00B40717">
              <w:rPr>
                <w:rFonts w:ascii="Arial" w:hAnsi="Arial" w:cs="Arial"/>
                <w:color w:val="0F243E" w:themeColor="text2" w:themeShade="80"/>
              </w:rPr>
              <w:t xml:space="preserve"> 16</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6"/>
        <w:gridCol w:w="3473"/>
        <w:gridCol w:w="4225"/>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sym w:font="Wingdings" w:char="F06F"/>
            </w:r>
            <w:r w:rsidR="00B40717">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9D3B04" w:rsidP="00CC21F3">
            <w:pPr>
              <w:rPr>
                <w:rFonts w:ascii="Arial" w:hAnsi="Arial" w:cs="Arial"/>
                <w:color w:val="0F243E" w:themeColor="text2" w:themeShade="80"/>
              </w:rPr>
            </w:pPr>
          </w:p>
          <w:p w:rsidR="00B40717" w:rsidRPr="008B799D" w:rsidRDefault="00B40717" w:rsidP="00B40717">
            <w:pPr>
              <w:spacing w:line="100" w:lineRule="atLeast"/>
              <w:jc w:val="both"/>
              <w:rPr>
                <w:rFonts w:ascii="Arial" w:hAnsi="Arial" w:cs="Arial"/>
                <w:sz w:val="26"/>
                <w:szCs w:val="26"/>
              </w:rPr>
            </w:pPr>
            <w:r w:rsidRPr="008B799D">
              <w:rPr>
                <w:rFonts w:ascii="Arial" w:hAnsi="Arial" w:cs="Arial"/>
                <w:sz w:val="26"/>
                <w:szCs w:val="26"/>
              </w:rPr>
              <w:lastRenderedPageBreak/>
              <w:t xml:space="preserve">Siguiendo el esquema Tomista, el sistema modular pretende la enseñanza del derecho a partir de la problematización de la realidad, sin que se quede en el sólo cuestionamiento académico, sino que por el contrario, sea llevada para posibles soluciones de los conflictos sociales que atañen al entorno del futuro Abogado, la familia, la ciudad, la sociedad, la región,  Boyacá y a Colombia. </w:t>
            </w:r>
          </w:p>
          <w:p w:rsidR="00B40717" w:rsidRPr="008B799D" w:rsidRDefault="00B40717" w:rsidP="00B40717">
            <w:pPr>
              <w:spacing w:line="100" w:lineRule="atLeast"/>
              <w:jc w:val="both"/>
              <w:rPr>
                <w:rFonts w:ascii="Arial" w:hAnsi="Arial" w:cs="Arial"/>
                <w:sz w:val="26"/>
                <w:szCs w:val="26"/>
              </w:rPr>
            </w:pPr>
          </w:p>
          <w:p w:rsidR="00B40717" w:rsidRPr="008B799D" w:rsidRDefault="00B40717" w:rsidP="00B40717">
            <w:pPr>
              <w:jc w:val="both"/>
              <w:rPr>
                <w:rFonts w:ascii="Arial" w:hAnsi="Arial" w:cs="Arial"/>
                <w:sz w:val="26"/>
                <w:szCs w:val="26"/>
                <w:lang w:val="es-AR"/>
              </w:rPr>
            </w:pPr>
            <w:r w:rsidRPr="008B799D">
              <w:rPr>
                <w:rFonts w:ascii="Arial" w:hAnsi="Arial" w:cs="Arial"/>
                <w:sz w:val="26"/>
                <w:szCs w:val="26"/>
                <w:lang w:val="es-AR"/>
              </w:rPr>
              <w:t>El ejercicio de la profesión de abogado, ya sea desempañando algún cargo en la judicatura o actuando como abogado litigante, requiere de conocimientos especiales frente al procedimiento civil y los procesos especiales denominados mecanismos alternativos de solución de conflictos.  Este procedimiento se refiere tanto a las normas de carácter general, aplicables a todos los casos o controversias judiciales y extrajudiciales, como a preceptos especiales que determinan los lineamientos dentro de los cuales se deben mover las partes en conflicto para lograr una justicia rápida y eficiente.  Esto hace necesario que los estudiantes conozcan las instituciones extrajudiciales y los procedimientos que se deben agotar antes de acudir a la vía judicial, dejando ésta como último recurso y dando aplicación al principio de “Relevancia Judicial”.</w:t>
            </w:r>
          </w:p>
          <w:p w:rsidR="009D3B04" w:rsidRPr="00B40717" w:rsidRDefault="009D3B04" w:rsidP="00CC21F3">
            <w:pPr>
              <w:rPr>
                <w:rFonts w:ascii="Arial" w:hAnsi="Arial" w:cs="Arial"/>
                <w:color w:val="0F243E" w:themeColor="text2" w:themeShade="80"/>
                <w:lang w:val="es-AR"/>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B40717" w:rsidRPr="008B799D" w:rsidRDefault="00B40717" w:rsidP="00B40717">
            <w:pPr>
              <w:jc w:val="both"/>
              <w:rPr>
                <w:rFonts w:ascii="Arial" w:hAnsi="Arial" w:cs="Arial"/>
                <w:sz w:val="26"/>
                <w:szCs w:val="26"/>
                <w:lang w:val="es-CO"/>
              </w:rPr>
            </w:pPr>
            <w:r w:rsidRPr="008B799D">
              <w:rPr>
                <w:rFonts w:ascii="Arial" w:hAnsi="Arial" w:cs="Arial"/>
                <w:sz w:val="26"/>
                <w:szCs w:val="26"/>
                <w:lang w:val="es-CO"/>
              </w:rPr>
              <w:t>Que los estudiantes al finalizar el programa académico, puedan conocer y manejar los diferentes sistemas y mecanismos que fueron creados para solucionar conflictos de manera extrajudicial y que se encuentran debidamente reglamentados a través de leyes  y decretos respectivamente.</w:t>
            </w:r>
          </w:p>
          <w:p w:rsidR="009D3B04" w:rsidRPr="00B40717" w:rsidRDefault="009D3B04" w:rsidP="00CC21F3">
            <w:pPr>
              <w:rPr>
                <w:rFonts w:ascii="Arial" w:hAnsi="Arial" w:cs="Arial"/>
                <w:color w:val="0F243E" w:themeColor="text2" w:themeShade="80"/>
                <w:lang w:val="es-CO"/>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B40717" w:rsidP="00210E82">
            <w:pPr>
              <w:rPr>
                <w:rFonts w:ascii="Arial" w:hAnsi="Arial" w:cs="Arial"/>
                <w:color w:val="0F243E" w:themeColor="text2" w:themeShade="80"/>
              </w:rPr>
            </w:pPr>
            <w:r>
              <w:rPr>
                <w:rFonts w:ascii="Arial" w:hAnsi="Arial" w:cs="Arial"/>
                <w:color w:val="0F243E" w:themeColor="text2" w:themeShade="80"/>
              </w:rPr>
              <w:t>El estudiante además de entender, analizar, interpretar documentos y textos; también producirá conclusiones que lo incentivarán a cuestionar lo leído, trabajado o escuchado; con argumentos jurídicos los cuales les darán la base fundamental para adquirir competencias de crítica y proposición de soluciones jurídicas, el estudiante una vez curse la materia y obtenga su título de abogado, procederá, a asesorar a sus clientes en mejor forma, ya que además de tener conocimientos sobre el sin número de temas de su carrera, éticamente aconsejara a sus clientes las formas más rápidas y eficientes de hacer justicia por la vía legal ya se a través de un proceso judicial aplicando cada uno de los procesos judiciales, o ya sea a través de los procesos extrajudiciales aplicando cada uno de los mecanismos alternativos de solución de conflictos</w:t>
            </w:r>
            <w:r w:rsidR="00210E82">
              <w:rPr>
                <w:rFonts w:ascii="Arial" w:hAnsi="Arial" w:cs="Arial"/>
                <w:color w:val="0F243E" w:themeColor="text2" w:themeShade="80"/>
              </w:rPr>
              <w:t>.</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210E82" w:rsidP="00210E82">
            <w:pPr>
              <w:tabs>
                <w:tab w:val="left" w:pos="1290"/>
              </w:tabs>
              <w:rPr>
                <w:rFonts w:ascii="Arial" w:hAnsi="Arial" w:cs="Arial"/>
                <w:color w:val="0F243E" w:themeColor="text2" w:themeShade="80"/>
              </w:rPr>
            </w:pPr>
            <w:r>
              <w:rPr>
                <w:rFonts w:ascii="Arial" w:hAnsi="Arial" w:cs="Arial"/>
                <w:color w:val="0F243E" w:themeColor="text2" w:themeShade="80"/>
              </w:rPr>
              <w:t>Solucionar los conflictos de manera rápida y eficaz para el efecto el estudiante tendrá la capacidad de identificar las grandes ventajas de celeridad, economía, eficiencia, eficacia y confidencialidad que caracterizan estos procesos alternos para dirimir un conflicto, a diferencia de los procesos civiles tradicionales que como es bien sabido por todos no cumplen por ahora los estándares de efectividad que todos quisiéramos.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9D3B04" w:rsidRPr="00EA3F72" w:rsidRDefault="009D3B04" w:rsidP="00CC21F3">
            <w:pPr>
              <w:jc w:val="both"/>
              <w:rPr>
                <w:rFonts w:ascii="Arial" w:hAnsi="Arial" w:cs="Arial"/>
                <w:b/>
                <w:color w:val="0F243E" w:themeColor="text2" w:themeShade="80"/>
                <w:sz w:val="28"/>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9D3B04" w:rsidRDefault="009D3B04" w:rsidP="00CC21F3">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8162F4" w:rsidRDefault="008162F4" w:rsidP="00CC21F3">
            <w:pPr>
              <w:jc w:val="both"/>
              <w:rPr>
                <w:rFonts w:ascii="Arial" w:hAnsi="Arial" w:cs="Arial"/>
                <w:color w:val="0F243E" w:themeColor="text2" w:themeShade="80"/>
              </w:rPr>
            </w:pPr>
          </w:p>
          <w:p w:rsidR="008162F4" w:rsidRPr="00981D18" w:rsidRDefault="008162F4" w:rsidP="008162F4">
            <w:pPr>
              <w:jc w:val="both"/>
              <w:rPr>
                <w:lang w:val="es-AR"/>
              </w:rPr>
            </w:pPr>
            <w:r w:rsidRPr="00981D18">
              <w:rPr>
                <w:lang w:val="es-AR"/>
              </w:rPr>
              <w:t>Una de las mejores competencias de formación que tiene el estudiante en el aprendizaje del tema respectivamente, es la forma como se desarrolla el programa, lo cual además de enseñarse a través de la cátedra magistral, también existen y se desarrollan talleres de clase y trabajos de campo, donde el estudiante puede conocer y vivir en forma real y directa, el sin número de beneficios que tiene la presente asignatura del derecho, teniéndolo de esta forma un conocimiento integral para que en el futuro puedan ser profesionales integrales.</w:t>
            </w:r>
          </w:p>
          <w:p w:rsidR="008162F4" w:rsidRPr="00981D18" w:rsidRDefault="008162F4" w:rsidP="008162F4">
            <w:pPr>
              <w:jc w:val="both"/>
              <w:rPr>
                <w:lang w:val="es-AR"/>
              </w:rPr>
            </w:pPr>
          </w:p>
          <w:p w:rsidR="008162F4" w:rsidRPr="00981D18" w:rsidRDefault="008162F4" w:rsidP="008162F4">
            <w:pPr>
              <w:jc w:val="both"/>
              <w:rPr>
                <w:lang w:val="es-AR"/>
              </w:rPr>
            </w:pPr>
            <w:r w:rsidRPr="00981D18">
              <w:rPr>
                <w:lang w:val="es-AR"/>
              </w:rPr>
              <w:t>Por todo lo anterior, estamos seguros de que el estudiante una vez curse la materia y con posterioridad obtenga su título de abogado, procederá a asesorar a sus clientes en mejor forma, ya que, además de tener conocimientos sobre el sin número de temas de su carrera profesión, éticamente aconsejará a sus clientes las formas más rápidas y eficientes de hacer justicia por la vía legal ya sea a través de un proceso judicial aplicando cada uno de los procesos judiciales, o ya sea a través de los procesos extrajudiciales aplicando cada uno de los mecanismos alternativos de solución de conflictos.</w:t>
            </w:r>
          </w:p>
          <w:p w:rsidR="008162F4" w:rsidRPr="00981D18" w:rsidRDefault="008162F4" w:rsidP="008162F4">
            <w:pPr>
              <w:rPr>
                <w:b/>
                <w:bCs/>
                <w:lang w:val="es-AR"/>
              </w:rPr>
            </w:pPr>
          </w:p>
          <w:p w:rsidR="008162F4" w:rsidRPr="00981D18" w:rsidRDefault="008162F4" w:rsidP="008162F4">
            <w:pPr>
              <w:jc w:val="both"/>
              <w:rPr>
                <w:lang w:val="es-AR"/>
              </w:rPr>
            </w:pPr>
            <w:r w:rsidRPr="00981D18">
              <w:rPr>
                <w:lang w:val="es-AR"/>
              </w:rPr>
              <w:t>De acuerdo con los propósitos del curso, las competencias que se proponen y las particularidades del sistema de créditos, para desarrollar el programa y los temas específicos asignados por el docente, se requiere de unas estrategias de aprendizaje  o métodos pedagógicos que se realizarán a través del desarrollo de guías elaboradas por el profesor, la realización de investigaciones de campo y los trabajos en clase, tutorías; todas ellas de forma individual o en forma grupal. De igual forma y teniendo en cuenta que el sistema de créditos consagra una participación activa del docente, éste enseñará directamente a través de la cátedra magistral los temas de vital importancia, al igual que esclarecerá las dudas que surjan por parte de los estudiantes como producto de las investigaciones realizadas.</w:t>
            </w:r>
          </w:p>
          <w:p w:rsidR="009D3B04" w:rsidRPr="008162F4" w:rsidRDefault="009D3B04" w:rsidP="00CC21F3">
            <w:pPr>
              <w:jc w:val="both"/>
              <w:rPr>
                <w:rFonts w:ascii="Arial" w:hAnsi="Arial" w:cs="Arial"/>
                <w:color w:val="0F243E" w:themeColor="text2" w:themeShade="80"/>
                <w:lang w:val="es-AR"/>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lastRenderedPageBreak/>
              <w:t xml:space="preserve">El módulo Privado está conformado por varias materias, que corresponden a los semestres primero, segundo, tercero, cuarto, quinto, sexto del programa de derecho en la Universidad Santo Tomás Seccional Tunja; se ciñe a los lineamientos que orientan el sistema modular, implantado como método general a nivel institucional en las sedes de la Universidad.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El esfuerzo por integrar el conocimiento, a partir de un módulo, requiere compromiso  y labor conjunta, entre los docentes del mismo y los estudiantes, así como el aprovechamiento al máximo de las horas de trabajo independiente de éstos últimos.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De la misma manera, se reafirma la tesis de que el estudio del derecho a partir de módulos, implica la obtención de un conocimiento no en compartimientos estancos e independientes, sino de campos del conocimiento interrelacionados, con los cuales el estudiante adquiere competencias de manera progresiva, para trasladar su aprendizaje a la experiencia diaria en la Universidad, en la Familia y en la Región, ajustándose a los requerimientos Estatales del sistema de créditos.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Existe plena coincidencia en que la facultad de derecho de la Universidad Santo Tomás encontró una identidad propia, ante las demás  facultades de Derecho y ante el País, por cuanto que se trata de la única Institución de Educación Superior que ofrece la enseñanza del Derecho a través del denominado sistema modular.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Esta forma particular de impartir la enseñanza del Derecho, nace en 1975, como producto de la preocupación ante la crisis que rondaba el sector educativo Universitario, especialmente en el campo jurídico. El sistema modular pretende recoger, el método de enseñanza de Tomás de Aquino, Patrono de nuestra Universidad.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Enseña el doctor Alberto Cárdenas Patiño que el sistema modular surgió no sólo como reflexión frente al sistema tradicional de la enseñanza del derecho sino como sentido a la Filosofía Tomista a imagen de la primera universidad de la Cristiandad, cuyos máximos maestros fueron Alberto Magno (patrono del convento Dominicano que administra la Universidad) y su discípulo  Tomás de Aquino (nuestro Patrono):</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  El “sistema modular ”  surgió y se ha desarrollado ... no sólo como respuesta dialéctica al “sistema ordinario “  y en circunstancias propicias, </w:t>
            </w:r>
            <w:r w:rsidRPr="001C198F">
              <w:rPr>
                <w:rFonts w:ascii="Arial" w:hAnsi="Arial" w:cs="Arial"/>
                <w:sz w:val="26"/>
                <w:szCs w:val="26"/>
                <w:lang w:val="es-CO" w:eastAsia="es-ES"/>
              </w:rPr>
              <w:lastRenderedPageBreak/>
              <w:t xml:space="preserve">sino también como traducción operante de la filosofía tomista, de la que deriva sus principios de actividad la USTA”. </w:t>
            </w:r>
            <w:r w:rsidRPr="001C198F">
              <w:rPr>
                <w:sz w:val="26"/>
                <w:szCs w:val="26"/>
                <w:lang w:val="es-CO" w:eastAsia="es-ES"/>
              </w:rPr>
              <w:footnoteReference w:id="1"/>
            </w:r>
          </w:p>
          <w:p w:rsidR="009D3B04" w:rsidRDefault="008628A2" w:rsidP="008628A2">
            <w:pPr>
              <w:rPr>
                <w:rFonts w:ascii="Arial" w:hAnsi="Arial" w:cs="Arial"/>
                <w:sz w:val="26"/>
                <w:szCs w:val="26"/>
                <w:lang w:val="es-CO"/>
              </w:rPr>
            </w:pPr>
            <w:r w:rsidRPr="001C198F">
              <w:rPr>
                <w:rFonts w:ascii="Arial" w:hAnsi="Arial" w:cs="Arial"/>
                <w:sz w:val="26"/>
                <w:szCs w:val="26"/>
                <w:lang w:val="es-CO"/>
              </w:rPr>
              <w:t>En cada módulo el estudiante, encuentra un conjunto de asignaturas que se integran con contenidos y temáticas comunes y obligatorias, que le permiten visualizar el derecho en sus distintas áreas, no como compartimentos aislados unos de los otros, sino que muestran el derecho como uno solo, por cuanto que los módulos a su vez encuentran aspectos de convergencia;  además  que le exige llevar coordinación entre la crítica y la práctica de los mismos con la realidad que le rodea, lo que se evidencia en el Módulo Privado Económico fundamento del derecho privado.</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Teniendo en cuenta que el sistema modular, no puede tenerse como inmutable, sino que debe ser cambiante, ajustándose a las realidades propias de nuestra Región, de nuestro Departamento, bajo los postulados ius filosóficos de Tomás de Aquino,  este documento quiere mostrar los lineamientos del MODULO PRIVADO, de la Facultad de Derecho de la Universidad Seccional Tunja, que se compagina con los demás módulos del programa académico y guarda coherencia interna, bajo los principales aspectos (núcleos) que articulan la dialéctica social, partiendo de niveles de problemas, tomando como referente la definición de Ley dada por Santo Tomás. </w:t>
            </w:r>
          </w:p>
          <w:p w:rsidR="008628A2" w:rsidRPr="001C198F" w:rsidRDefault="008628A2" w:rsidP="008628A2">
            <w:pPr>
              <w:pStyle w:val="WW-Sangra2detindependiente"/>
              <w:spacing w:line="100" w:lineRule="atLeast"/>
              <w:jc w:val="both"/>
              <w:rPr>
                <w:rFonts w:ascii="Arial" w:hAnsi="Arial" w:cs="Arial"/>
                <w:sz w:val="26"/>
                <w:szCs w:val="26"/>
                <w:lang w:val="es-CO" w:eastAsia="es-ES"/>
              </w:rPr>
            </w:pPr>
            <w:r w:rsidRPr="001C198F">
              <w:rPr>
                <w:rFonts w:ascii="Arial" w:hAnsi="Arial" w:cs="Arial"/>
                <w:sz w:val="26"/>
                <w:szCs w:val="26"/>
                <w:lang w:val="es-CO" w:eastAsia="es-ES"/>
              </w:rPr>
              <w:t xml:space="preserve">“ ... con el objeto de recuperar la doctrina originaria del diseño de 1975 y para concretar algo que estaba pendiente desde entonces: los lineamientos de los núcleos de todos los módulos, núcleos que articulan los tres niveles de problemas sugeridos por la definición de ley de Tomás  de Aquino : el de la realidad social (“cuidado de la comunidad”), el de los valores de la coexistencia (“para el bien común”), y el del eje temático o categoría fundamental que regula los temas de las asignaturas de cada subsistema jurídico (“ordenación de la razón”) . </w:t>
            </w:r>
            <w:r w:rsidRPr="001C198F">
              <w:rPr>
                <w:sz w:val="26"/>
                <w:szCs w:val="26"/>
                <w:lang w:val="es-CO" w:eastAsia="es-ES"/>
              </w:rPr>
              <w:footnoteReference w:id="2"/>
            </w:r>
          </w:p>
          <w:p w:rsidR="008628A2" w:rsidRDefault="008628A2" w:rsidP="008628A2">
            <w:pPr>
              <w:ind w:firstLine="708"/>
              <w:rPr>
                <w:rFonts w:ascii="Arial" w:hAnsi="Arial" w:cs="Arial"/>
                <w:sz w:val="26"/>
                <w:szCs w:val="26"/>
                <w:lang w:val="es-CO"/>
              </w:rPr>
            </w:pPr>
            <w:r w:rsidRPr="001C198F">
              <w:rPr>
                <w:rFonts w:ascii="Arial" w:hAnsi="Arial" w:cs="Arial"/>
                <w:sz w:val="26"/>
                <w:szCs w:val="26"/>
                <w:lang w:val="es-CO"/>
              </w:rPr>
              <w:t xml:space="preserve">El faro orientador de la enseñanza del Derecho en la facultad de la Universidad Santo Tomás Seccional Tunja, es la Filosofía de Santo Tomás de Aquino, por lo que el diseño del programa a través de módulos permite al  estudiante ver, actuar y juzgar el estado científico y práctico actual del derecho, acorde con las condiciones de la región, las expectativas y </w:t>
            </w:r>
            <w:r w:rsidRPr="001C198F">
              <w:rPr>
                <w:rFonts w:ascii="Arial" w:hAnsi="Arial" w:cs="Arial"/>
                <w:sz w:val="26"/>
                <w:szCs w:val="26"/>
                <w:lang w:val="es-CO"/>
              </w:rPr>
              <w:lastRenderedPageBreak/>
              <w:t>necesidades nacionales e internacionales.</w:t>
            </w:r>
          </w:p>
          <w:p w:rsidR="008628A2" w:rsidRDefault="008628A2" w:rsidP="008628A2">
            <w:pPr>
              <w:rPr>
                <w:rFonts w:ascii="Arial" w:hAnsi="Arial" w:cs="Arial"/>
                <w:color w:val="0F243E" w:themeColor="text2" w:themeShade="80"/>
              </w:rPr>
            </w:pPr>
          </w:p>
          <w:p w:rsidR="008628A2" w:rsidRPr="008B799D" w:rsidRDefault="008628A2" w:rsidP="008628A2">
            <w:pPr>
              <w:contextualSpacing/>
              <w:rPr>
                <w:rFonts w:ascii="Arial" w:hAnsi="Arial" w:cs="Arial"/>
                <w:sz w:val="26"/>
                <w:szCs w:val="26"/>
              </w:rPr>
            </w:pPr>
            <w:r w:rsidRPr="008B799D">
              <w:rPr>
                <w:rFonts w:ascii="Arial" w:hAnsi="Arial" w:cs="Arial"/>
                <w:b/>
                <w:sz w:val="26"/>
                <w:szCs w:val="26"/>
              </w:rPr>
              <w:t>RELACIÓN ASIGNATURA CON LA MATERIA MODULAR, EL CENTRO DE INTERÉS Y EL EJE TEMÁTICO DEL MÓDULO POLITICO ECONOMICO</w:t>
            </w:r>
            <w:r w:rsidRPr="008B799D">
              <w:rPr>
                <w:rFonts w:ascii="Arial" w:hAnsi="Arial" w:cs="Arial"/>
                <w:sz w:val="26"/>
                <w:szCs w:val="26"/>
              </w:rPr>
              <w:t>.</w:t>
            </w:r>
          </w:p>
          <w:p w:rsidR="008628A2" w:rsidRDefault="008628A2" w:rsidP="008628A2">
            <w:pPr>
              <w:rPr>
                <w:rFonts w:ascii="Arial" w:hAnsi="Arial" w:cs="Arial"/>
                <w:sz w:val="26"/>
                <w:szCs w:val="26"/>
              </w:rPr>
            </w:pPr>
          </w:p>
          <w:p w:rsidR="008628A2" w:rsidRPr="008B799D" w:rsidRDefault="008628A2" w:rsidP="008628A2">
            <w:pPr>
              <w:rPr>
                <w:rFonts w:ascii="Arial" w:hAnsi="Arial" w:cs="Arial"/>
                <w:sz w:val="26"/>
                <w:szCs w:val="26"/>
              </w:rPr>
            </w:pPr>
            <w:r w:rsidRPr="008B799D">
              <w:rPr>
                <w:rFonts w:ascii="Arial" w:hAnsi="Arial" w:cs="Arial"/>
                <w:sz w:val="26"/>
                <w:szCs w:val="26"/>
              </w:rPr>
              <w:t>MATERIA MODULAR: EL TODO SOCIAL COLOMBIANO</w:t>
            </w:r>
          </w:p>
          <w:p w:rsidR="008628A2" w:rsidRPr="008B799D" w:rsidRDefault="008628A2" w:rsidP="008628A2">
            <w:pPr>
              <w:pStyle w:val="Textoindependiente"/>
              <w:spacing w:line="100" w:lineRule="atLeast"/>
              <w:rPr>
                <w:rFonts w:ascii="Arial" w:hAnsi="Arial" w:cs="Arial"/>
                <w:sz w:val="26"/>
                <w:szCs w:val="26"/>
                <w:lang w:val="es-CO"/>
              </w:rPr>
            </w:pPr>
            <w:r w:rsidRPr="008B799D">
              <w:rPr>
                <w:rFonts w:ascii="Arial" w:hAnsi="Arial" w:cs="Arial"/>
                <w:sz w:val="26"/>
                <w:szCs w:val="26"/>
                <w:lang w:val="es-CO"/>
              </w:rPr>
              <w:t xml:space="preserve">La materia Modular o fuente real de las formalizaciones del Derecho Privado es la “vida privada”, es decir, el mundo de las interacciones personales no directamente controladas ni dirigidas por intereses supraindividuales de la sociedad política. El Módulo Privado de nuestra facultad de Derecho influido en su origen por el “Proyecto de Código de  Derecho Privado” del doctor ArturoValencia Zea, uno de los juristas que intervinieron en el diseño del sistema modular en 1975, integran en un solo campo disciplinas  que algunos doctrinantes han intentado separar: asuntos civiles y comerciales. </w:t>
            </w:r>
          </w:p>
          <w:p w:rsidR="008628A2" w:rsidRPr="008B799D" w:rsidRDefault="008628A2" w:rsidP="008628A2">
            <w:pPr>
              <w:pStyle w:val="Textoindependiente"/>
              <w:spacing w:line="100" w:lineRule="atLeast"/>
              <w:rPr>
                <w:rFonts w:ascii="Arial" w:hAnsi="Arial" w:cs="Arial"/>
                <w:sz w:val="26"/>
                <w:szCs w:val="26"/>
                <w:lang w:val="es-CO"/>
              </w:rPr>
            </w:pPr>
          </w:p>
          <w:p w:rsidR="008628A2" w:rsidRDefault="008628A2" w:rsidP="008628A2">
            <w:pPr>
              <w:pStyle w:val="Textoindependiente"/>
              <w:spacing w:line="100" w:lineRule="atLeast"/>
              <w:rPr>
                <w:rFonts w:ascii="Arial" w:hAnsi="Arial" w:cs="Arial"/>
                <w:sz w:val="26"/>
                <w:szCs w:val="26"/>
                <w:lang w:val="es-CO"/>
              </w:rPr>
            </w:pPr>
            <w:r w:rsidRPr="008B799D">
              <w:rPr>
                <w:rFonts w:ascii="Arial" w:hAnsi="Arial" w:cs="Arial"/>
                <w:sz w:val="26"/>
                <w:szCs w:val="26"/>
                <w:lang w:val="es-CO"/>
              </w:rPr>
              <w:t>El Derecho Privado constituye una parte vertebral en los estudios de Derecho, como quiera que la teoría jurídica se estructuro, en buena medida a partir de las instituciones civiles y comerciales. Por esta razón es un campo ligado, desde el punto de vista doctrinario a esquemas muy tradicionales, que difícilmente han sido objeto de innovación. Como la realidad contemporánea exige cambios, el plan de estudios del módulo pretende impulsar una transformación de la comprensión del campo, que integre tratamientos hoy dispersos bajo una lógica organizativa nueva.</w:t>
            </w:r>
          </w:p>
          <w:p w:rsidR="008628A2" w:rsidRDefault="008628A2" w:rsidP="008628A2">
            <w:pPr>
              <w:pStyle w:val="Textoindependiente"/>
              <w:spacing w:line="100" w:lineRule="atLeast"/>
              <w:rPr>
                <w:rFonts w:ascii="Arial" w:hAnsi="Arial" w:cs="Arial"/>
                <w:sz w:val="26"/>
                <w:szCs w:val="26"/>
                <w:lang w:val="es-ES"/>
              </w:rPr>
            </w:pPr>
          </w:p>
          <w:p w:rsidR="008628A2" w:rsidRDefault="008628A2" w:rsidP="008628A2">
            <w:pPr>
              <w:pStyle w:val="Textoindependiente"/>
              <w:spacing w:line="100" w:lineRule="atLeast"/>
              <w:rPr>
                <w:rFonts w:ascii="Arial" w:hAnsi="Arial" w:cs="Arial"/>
                <w:sz w:val="26"/>
                <w:szCs w:val="26"/>
                <w:lang w:val="es-ES"/>
              </w:rPr>
            </w:pPr>
            <w:r w:rsidRPr="008628A2">
              <w:rPr>
                <w:rFonts w:ascii="Arial" w:hAnsi="Arial" w:cs="Arial"/>
                <w:sz w:val="26"/>
                <w:szCs w:val="26"/>
                <w:lang w:val="es-ES"/>
              </w:rPr>
              <w:t>CENTRO DE INTERES: VALORES DE COEXISTENCIA</w:t>
            </w:r>
          </w:p>
          <w:p w:rsidR="008628A2" w:rsidRDefault="008628A2" w:rsidP="008628A2">
            <w:pPr>
              <w:pStyle w:val="Encabezado"/>
              <w:tabs>
                <w:tab w:val="left" w:pos="708"/>
              </w:tabs>
              <w:spacing w:line="100" w:lineRule="atLeast"/>
              <w:jc w:val="both"/>
              <w:rPr>
                <w:rFonts w:ascii="Arial" w:eastAsia="Times New Roman" w:hAnsi="Arial" w:cs="Arial"/>
                <w:sz w:val="26"/>
                <w:szCs w:val="26"/>
              </w:rPr>
            </w:pPr>
            <w:r w:rsidRPr="008B799D">
              <w:rPr>
                <w:rFonts w:ascii="Arial" w:eastAsia="Times New Roman" w:hAnsi="Arial" w:cs="Arial"/>
                <w:sz w:val="26"/>
                <w:szCs w:val="26"/>
              </w:rPr>
              <w:t xml:space="preserve">El centro de interés del Módulo Privado es la justicia conmutativa, que regula la satisfacción de las mutuas pretensiones entre los sujetos de las relaciones jurídicas, civiles o comerciales. Toma su nombre de las conmutaciones necesarias para el suministro de los bienes de todo orden que posibilitan los fines inmediatos de la vida. Se da entre personas físicas o jurídicas vinculadas por actos de autonomía privada. Se ciñe a reglas de derecho contractual conforme al principio de igualdad en lo que se da y lo que se recibe. Otro centro de interés del Módulo de Derecho Privado es la dignidad humana, a fin de que el individuo pueda integrarse activamente a la convivencia a la que pertenece, como auténtico protagonista de la vida humana que relatan los códigos civil y de comercio, protegida desde antes de nacer la persona natural transforma su medio por el hecho de nacer, adquiere derechos para su libre desarrollo, se hace capaz de trabajar y adquirir bienes, puede fundar una familia, dedicarse al comercio, contratar, </w:t>
            </w:r>
            <w:r w:rsidRPr="008B799D">
              <w:rPr>
                <w:rFonts w:ascii="Arial" w:eastAsia="Times New Roman" w:hAnsi="Arial" w:cs="Arial"/>
                <w:sz w:val="26"/>
                <w:szCs w:val="26"/>
              </w:rPr>
              <w:lastRenderedPageBreak/>
              <w:t xml:space="preserve">obligarse, participar en la vida económica, social, cultural y política.  </w:t>
            </w:r>
          </w:p>
          <w:p w:rsidR="008628A2" w:rsidRDefault="008628A2" w:rsidP="008628A2">
            <w:pPr>
              <w:pStyle w:val="Encabezado"/>
              <w:tabs>
                <w:tab w:val="left" w:pos="708"/>
              </w:tabs>
              <w:spacing w:line="100" w:lineRule="atLeast"/>
              <w:jc w:val="both"/>
              <w:rPr>
                <w:rFonts w:ascii="Arial" w:eastAsia="Times New Roman" w:hAnsi="Arial" w:cs="Arial"/>
                <w:sz w:val="26"/>
                <w:szCs w:val="26"/>
              </w:rPr>
            </w:pPr>
          </w:p>
          <w:p w:rsidR="008628A2" w:rsidRDefault="008628A2" w:rsidP="008628A2">
            <w:pPr>
              <w:pStyle w:val="Encabezado"/>
              <w:tabs>
                <w:tab w:val="left" w:pos="708"/>
              </w:tabs>
              <w:spacing w:line="100" w:lineRule="atLeast"/>
              <w:jc w:val="both"/>
              <w:rPr>
                <w:rFonts w:ascii="Arial" w:eastAsia="Times New Roman" w:hAnsi="Arial" w:cs="Arial"/>
                <w:sz w:val="26"/>
                <w:szCs w:val="26"/>
              </w:rPr>
            </w:pPr>
            <w:r w:rsidRPr="008B799D">
              <w:rPr>
                <w:rFonts w:ascii="Arial" w:eastAsia="Times New Roman" w:hAnsi="Arial" w:cs="Arial"/>
                <w:sz w:val="26"/>
                <w:szCs w:val="26"/>
              </w:rPr>
              <w:t>EJE TEMÁTICO: ESTADO SOCIAL DE DERECHO</w:t>
            </w:r>
          </w:p>
          <w:p w:rsidR="008628A2" w:rsidRPr="008628A2" w:rsidRDefault="008628A2" w:rsidP="008628A2">
            <w:pPr>
              <w:pStyle w:val="Encabezado"/>
              <w:tabs>
                <w:tab w:val="left" w:pos="708"/>
              </w:tabs>
              <w:spacing w:line="100" w:lineRule="atLeast"/>
              <w:jc w:val="both"/>
              <w:rPr>
                <w:rFonts w:ascii="Arial" w:hAnsi="Arial" w:cs="Arial"/>
                <w:sz w:val="26"/>
                <w:szCs w:val="26"/>
              </w:rPr>
            </w:pPr>
            <w:r>
              <w:rPr>
                <w:rFonts w:ascii="Arial" w:hAnsi="Arial" w:cs="Arial"/>
              </w:rPr>
              <w:t>La estructura jurídica de la sociedad no es producto exclusivo del poder público, mediante la ley, el acto administrativo, la sentencia. También contribuye a su formación y de manera cotidiana y múltiple, el poder jurídico que compete a las personas para ordenar su ámbito privado. La persona como sujeto de derecho es protagonista de la vida jurídica.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8628A2" w:rsidRPr="001D7BD3" w:rsidRDefault="008628A2" w:rsidP="008628A2">
            <w:pPr>
              <w:numPr>
                <w:ilvl w:val="0"/>
                <w:numId w:val="42"/>
              </w:numPr>
              <w:jc w:val="both"/>
              <w:rPr>
                <w:rFonts w:ascii="Arial" w:hAnsi="Arial" w:cs="Arial"/>
              </w:rPr>
            </w:pPr>
            <w:r w:rsidRPr="001D7BD3">
              <w:rPr>
                <w:rFonts w:ascii="Arial" w:hAnsi="Arial" w:cs="Arial"/>
              </w:rPr>
              <w:t>UNIDAD PRIMERA: INTEGRACIÓN SISTEMÁTICA Y MODULAR.</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3"/>
              </w:numPr>
              <w:jc w:val="both"/>
              <w:rPr>
                <w:rFonts w:ascii="Arial" w:hAnsi="Arial" w:cs="Arial"/>
              </w:rPr>
            </w:pPr>
            <w:r w:rsidRPr="001D7BD3">
              <w:rPr>
                <w:rFonts w:ascii="Arial" w:hAnsi="Arial" w:cs="Arial"/>
              </w:rPr>
              <w:t>Fundamentos constitucionales de la materia.</w:t>
            </w:r>
          </w:p>
          <w:p w:rsidR="008628A2" w:rsidRPr="001D7BD3" w:rsidRDefault="008628A2" w:rsidP="008628A2">
            <w:pPr>
              <w:numPr>
                <w:ilvl w:val="0"/>
                <w:numId w:val="43"/>
              </w:numPr>
              <w:jc w:val="both"/>
              <w:rPr>
                <w:rFonts w:ascii="Arial" w:hAnsi="Arial" w:cs="Arial"/>
              </w:rPr>
            </w:pPr>
            <w:r w:rsidRPr="001D7BD3">
              <w:rPr>
                <w:rFonts w:ascii="Arial" w:hAnsi="Arial" w:cs="Arial"/>
              </w:rPr>
              <w:t>Instituciones jurídicas de la materia.</w:t>
            </w:r>
          </w:p>
          <w:p w:rsidR="008628A2" w:rsidRPr="001D7BD3" w:rsidRDefault="008628A2" w:rsidP="008628A2">
            <w:pPr>
              <w:numPr>
                <w:ilvl w:val="0"/>
                <w:numId w:val="43"/>
              </w:numPr>
              <w:jc w:val="both"/>
              <w:rPr>
                <w:rFonts w:ascii="Arial" w:hAnsi="Arial" w:cs="Arial"/>
              </w:rPr>
            </w:pPr>
            <w:r w:rsidRPr="001D7BD3">
              <w:rPr>
                <w:rFonts w:ascii="Arial" w:hAnsi="Arial" w:cs="Arial"/>
              </w:rPr>
              <w:t>Relaciones con las demás materias del módulo privado.</w:t>
            </w:r>
          </w:p>
          <w:p w:rsidR="008628A2" w:rsidRPr="001D7BD3" w:rsidRDefault="008628A2" w:rsidP="008628A2">
            <w:pPr>
              <w:numPr>
                <w:ilvl w:val="0"/>
                <w:numId w:val="43"/>
              </w:numPr>
              <w:jc w:val="both"/>
              <w:rPr>
                <w:rFonts w:ascii="Arial" w:hAnsi="Arial" w:cs="Arial"/>
              </w:rPr>
            </w:pPr>
            <w:r w:rsidRPr="001D7BD3">
              <w:rPr>
                <w:rFonts w:ascii="Arial" w:hAnsi="Arial" w:cs="Arial"/>
              </w:rPr>
              <w:t>Relaciones con los demás módulos.</w:t>
            </w:r>
          </w:p>
          <w:p w:rsidR="008628A2" w:rsidRPr="001D7BD3" w:rsidRDefault="008628A2" w:rsidP="008628A2">
            <w:pPr>
              <w:numPr>
                <w:ilvl w:val="0"/>
                <w:numId w:val="43"/>
              </w:numPr>
              <w:jc w:val="both"/>
              <w:rPr>
                <w:rFonts w:ascii="Arial" w:hAnsi="Arial" w:cs="Arial"/>
              </w:rPr>
            </w:pPr>
            <w:r w:rsidRPr="001D7BD3">
              <w:rPr>
                <w:rFonts w:ascii="Arial" w:hAnsi="Arial" w:cs="Arial"/>
              </w:rPr>
              <w:t>Trascendencia social, económica y jurídica de la materia.</w:t>
            </w:r>
          </w:p>
          <w:p w:rsidR="008628A2" w:rsidRPr="001D7BD3" w:rsidRDefault="008628A2" w:rsidP="008628A2">
            <w:pPr>
              <w:ind w:left="720"/>
              <w:jc w:val="both"/>
              <w:rPr>
                <w:rFonts w:ascii="Arial" w:hAnsi="Arial" w:cs="Arial"/>
              </w:rPr>
            </w:pPr>
          </w:p>
          <w:p w:rsidR="008628A2" w:rsidRPr="001D7BD3" w:rsidRDefault="008628A2" w:rsidP="008628A2">
            <w:pPr>
              <w:ind w:left="720"/>
              <w:jc w:val="both"/>
              <w:rPr>
                <w:rFonts w:ascii="Arial" w:hAnsi="Arial" w:cs="Arial"/>
              </w:rPr>
            </w:pPr>
          </w:p>
          <w:p w:rsidR="008628A2" w:rsidRPr="001D7BD3" w:rsidRDefault="008628A2" w:rsidP="008628A2">
            <w:pPr>
              <w:numPr>
                <w:ilvl w:val="0"/>
                <w:numId w:val="42"/>
              </w:numPr>
              <w:jc w:val="both"/>
              <w:rPr>
                <w:rFonts w:ascii="Arial" w:hAnsi="Arial" w:cs="Arial"/>
              </w:rPr>
            </w:pPr>
            <w:r w:rsidRPr="001D7BD3">
              <w:rPr>
                <w:rFonts w:ascii="Arial" w:hAnsi="Arial" w:cs="Arial"/>
              </w:rPr>
              <w:t>UNIDAD SEGUNDA: MECANISMOS ALTERNATIVOS DE SOLUCIÓN DE CONFLICTOS.</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3"/>
              </w:numPr>
              <w:jc w:val="both"/>
              <w:rPr>
                <w:rFonts w:ascii="Arial" w:hAnsi="Arial" w:cs="Arial"/>
              </w:rPr>
            </w:pPr>
            <w:r w:rsidRPr="001D7BD3">
              <w:rPr>
                <w:rFonts w:ascii="Arial" w:hAnsi="Arial" w:cs="Arial"/>
              </w:rPr>
              <w:t>Principios Generales.</w:t>
            </w:r>
          </w:p>
          <w:p w:rsidR="008628A2" w:rsidRPr="001D7BD3" w:rsidRDefault="008628A2" w:rsidP="008628A2">
            <w:pPr>
              <w:numPr>
                <w:ilvl w:val="0"/>
                <w:numId w:val="43"/>
              </w:numPr>
              <w:jc w:val="both"/>
              <w:rPr>
                <w:rFonts w:ascii="Arial" w:hAnsi="Arial" w:cs="Arial"/>
              </w:rPr>
            </w:pPr>
            <w:r w:rsidRPr="001D7BD3">
              <w:rPr>
                <w:rFonts w:ascii="Arial" w:hAnsi="Arial" w:cs="Arial"/>
              </w:rPr>
              <w:t>Clases</w:t>
            </w:r>
          </w:p>
          <w:p w:rsidR="008628A2" w:rsidRPr="001D7BD3" w:rsidRDefault="008628A2" w:rsidP="008628A2">
            <w:pPr>
              <w:numPr>
                <w:ilvl w:val="0"/>
                <w:numId w:val="43"/>
              </w:numPr>
              <w:jc w:val="both"/>
              <w:rPr>
                <w:rFonts w:ascii="Arial" w:hAnsi="Arial" w:cs="Arial"/>
              </w:rPr>
            </w:pPr>
            <w:r w:rsidRPr="001D7BD3">
              <w:rPr>
                <w:rFonts w:ascii="Arial" w:hAnsi="Arial" w:cs="Arial"/>
              </w:rPr>
              <w:t>Autocomposición y heterocomposición.</w:t>
            </w:r>
          </w:p>
          <w:p w:rsidR="008628A2" w:rsidRPr="001D7BD3" w:rsidRDefault="008628A2" w:rsidP="008628A2">
            <w:pPr>
              <w:numPr>
                <w:ilvl w:val="0"/>
                <w:numId w:val="43"/>
              </w:numPr>
              <w:jc w:val="both"/>
              <w:rPr>
                <w:rFonts w:ascii="Arial" w:hAnsi="Arial" w:cs="Arial"/>
              </w:rPr>
            </w:pPr>
            <w:r w:rsidRPr="001D7BD3">
              <w:rPr>
                <w:rFonts w:ascii="Arial" w:hAnsi="Arial" w:cs="Arial"/>
              </w:rPr>
              <w:t>Beneficios que producen los MASC.</w:t>
            </w:r>
          </w:p>
          <w:p w:rsidR="008628A2" w:rsidRPr="001D7BD3" w:rsidRDefault="008628A2" w:rsidP="008628A2">
            <w:pPr>
              <w:numPr>
                <w:ilvl w:val="0"/>
                <w:numId w:val="43"/>
              </w:numPr>
              <w:jc w:val="both"/>
              <w:rPr>
                <w:rFonts w:ascii="Arial" w:hAnsi="Arial" w:cs="Arial"/>
              </w:rPr>
            </w:pPr>
            <w:r w:rsidRPr="001D7BD3">
              <w:rPr>
                <w:rFonts w:ascii="Arial" w:hAnsi="Arial" w:cs="Arial"/>
              </w:rPr>
              <w:t>Negociación.</w:t>
            </w:r>
          </w:p>
          <w:p w:rsidR="008628A2" w:rsidRPr="001D7BD3" w:rsidRDefault="008628A2" w:rsidP="008628A2">
            <w:pPr>
              <w:numPr>
                <w:ilvl w:val="0"/>
                <w:numId w:val="43"/>
              </w:numPr>
              <w:jc w:val="both"/>
              <w:rPr>
                <w:rFonts w:ascii="Arial" w:hAnsi="Arial" w:cs="Arial"/>
              </w:rPr>
            </w:pPr>
            <w:r w:rsidRPr="001D7BD3">
              <w:rPr>
                <w:rFonts w:ascii="Arial" w:hAnsi="Arial" w:cs="Arial"/>
              </w:rPr>
              <w:t>Mediación</w:t>
            </w:r>
          </w:p>
          <w:p w:rsidR="008628A2" w:rsidRPr="001D7BD3" w:rsidRDefault="008628A2" w:rsidP="008628A2">
            <w:pPr>
              <w:numPr>
                <w:ilvl w:val="0"/>
                <w:numId w:val="43"/>
              </w:numPr>
              <w:jc w:val="both"/>
              <w:rPr>
                <w:rFonts w:ascii="Arial" w:hAnsi="Arial" w:cs="Arial"/>
              </w:rPr>
            </w:pPr>
            <w:r w:rsidRPr="001D7BD3">
              <w:rPr>
                <w:rFonts w:ascii="Arial" w:hAnsi="Arial" w:cs="Arial"/>
              </w:rPr>
              <w:t>Transacción.</w:t>
            </w:r>
          </w:p>
          <w:p w:rsidR="008628A2" w:rsidRPr="001D7BD3" w:rsidRDefault="008628A2" w:rsidP="008628A2">
            <w:pPr>
              <w:numPr>
                <w:ilvl w:val="0"/>
                <w:numId w:val="43"/>
              </w:numPr>
              <w:jc w:val="both"/>
              <w:rPr>
                <w:rFonts w:ascii="Arial" w:hAnsi="Arial" w:cs="Arial"/>
              </w:rPr>
            </w:pPr>
            <w:r w:rsidRPr="001D7BD3">
              <w:rPr>
                <w:rFonts w:ascii="Arial" w:hAnsi="Arial" w:cs="Arial"/>
              </w:rPr>
              <w:t>Contrato, forma de terminación anormal del proceso.</w:t>
            </w:r>
          </w:p>
          <w:p w:rsidR="008628A2" w:rsidRPr="001D7BD3" w:rsidRDefault="008628A2" w:rsidP="008628A2">
            <w:pPr>
              <w:numPr>
                <w:ilvl w:val="0"/>
                <w:numId w:val="43"/>
              </w:numPr>
              <w:jc w:val="both"/>
              <w:rPr>
                <w:rFonts w:ascii="Arial" w:hAnsi="Arial" w:cs="Arial"/>
              </w:rPr>
            </w:pPr>
            <w:r w:rsidRPr="001D7BD3">
              <w:rPr>
                <w:rFonts w:ascii="Arial" w:hAnsi="Arial" w:cs="Arial"/>
              </w:rPr>
              <w:t>La conciliación</w:t>
            </w:r>
          </w:p>
          <w:p w:rsidR="008628A2" w:rsidRPr="001D7BD3" w:rsidRDefault="008628A2" w:rsidP="008628A2">
            <w:pPr>
              <w:numPr>
                <w:ilvl w:val="0"/>
                <w:numId w:val="43"/>
              </w:numPr>
              <w:jc w:val="both"/>
              <w:rPr>
                <w:rFonts w:ascii="Arial" w:hAnsi="Arial" w:cs="Arial"/>
              </w:rPr>
            </w:pPr>
            <w:r w:rsidRPr="001D7BD3">
              <w:rPr>
                <w:rFonts w:ascii="Arial" w:hAnsi="Arial" w:cs="Arial"/>
              </w:rPr>
              <w:t>La amigable composición.</w:t>
            </w:r>
          </w:p>
          <w:p w:rsidR="008628A2" w:rsidRPr="001D7BD3" w:rsidRDefault="008628A2" w:rsidP="008628A2">
            <w:pPr>
              <w:numPr>
                <w:ilvl w:val="0"/>
                <w:numId w:val="43"/>
              </w:numPr>
              <w:jc w:val="both"/>
              <w:rPr>
                <w:rFonts w:ascii="Arial" w:hAnsi="Arial" w:cs="Arial"/>
              </w:rPr>
            </w:pPr>
            <w:r w:rsidRPr="001D7BD3">
              <w:rPr>
                <w:rFonts w:ascii="Arial" w:hAnsi="Arial" w:cs="Arial"/>
              </w:rPr>
              <w:t>Evaluación neutral de casos.</w:t>
            </w:r>
          </w:p>
          <w:p w:rsidR="008628A2" w:rsidRPr="001D7BD3" w:rsidRDefault="008628A2" w:rsidP="008628A2">
            <w:pPr>
              <w:numPr>
                <w:ilvl w:val="0"/>
                <w:numId w:val="43"/>
              </w:numPr>
              <w:jc w:val="both"/>
              <w:rPr>
                <w:rFonts w:ascii="Arial" w:hAnsi="Arial" w:cs="Arial"/>
              </w:rPr>
            </w:pPr>
            <w:r w:rsidRPr="001D7BD3">
              <w:rPr>
                <w:rFonts w:ascii="Arial" w:hAnsi="Arial" w:cs="Arial"/>
              </w:rPr>
              <w:t>Defensor del cliente.</w:t>
            </w:r>
          </w:p>
          <w:p w:rsidR="008628A2" w:rsidRPr="001D7BD3" w:rsidRDefault="008628A2" w:rsidP="008628A2">
            <w:pPr>
              <w:numPr>
                <w:ilvl w:val="0"/>
                <w:numId w:val="43"/>
              </w:numPr>
              <w:jc w:val="both"/>
              <w:rPr>
                <w:rFonts w:ascii="Arial" w:hAnsi="Arial" w:cs="Arial"/>
              </w:rPr>
            </w:pPr>
            <w:r w:rsidRPr="001D7BD3">
              <w:rPr>
                <w:rFonts w:ascii="Arial" w:hAnsi="Arial" w:cs="Arial"/>
              </w:rPr>
              <w:t>Alquiler de jueces privados.</w:t>
            </w:r>
          </w:p>
          <w:p w:rsidR="008628A2" w:rsidRPr="001D7BD3" w:rsidRDefault="008628A2" w:rsidP="008628A2">
            <w:pPr>
              <w:numPr>
                <w:ilvl w:val="0"/>
                <w:numId w:val="43"/>
              </w:numPr>
              <w:jc w:val="both"/>
              <w:rPr>
                <w:rFonts w:ascii="Arial" w:hAnsi="Arial" w:cs="Arial"/>
              </w:rPr>
            </w:pPr>
            <w:r w:rsidRPr="001D7BD3">
              <w:rPr>
                <w:rFonts w:ascii="Arial" w:hAnsi="Arial" w:cs="Arial"/>
              </w:rPr>
              <w:t>Minijuicio.</w:t>
            </w:r>
          </w:p>
          <w:p w:rsidR="008628A2" w:rsidRPr="001D7BD3" w:rsidRDefault="008628A2" w:rsidP="008628A2">
            <w:pPr>
              <w:numPr>
                <w:ilvl w:val="0"/>
                <w:numId w:val="43"/>
              </w:numPr>
              <w:jc w:val="both"/>
              <w:rPr>
                <w:rFonts w:ascii="Arial" w:hAnsi="Arial" w:cs="Arial"/>
              </w:rPr>
            </w:pPr>
            <w:r w:rsidRPr="001D7BD3">
              <w:rPr>
                <w:rFonts w:ascii="Arial" w:hAnsi="Arial" w:cs="Arial"/>
              </w:rPr>
              <w:t>El arbitramento.</w:t>
            </w:r>
          </w:p>
          <w:p w:rsidR="008628A2" w:rsidRPr="001D7BD3" w:rsidRDefault="008628A2" w:rsidP="008628A2">
            <w:pPr>
              <w:numPr>
                <w:ilvl w:val="0"/>
                <w:numId w:val="43"/>
              </w:numPr>
              <w:jc w:val="both"/>
              <w:rPr>
                <w:rFonts w:ascii="Arial" w:hAnsi="Arial" w:cs="Arial"/>
              </w:rPr>
            </w:pPr>
            <w:r w:rsidRPr="001D7BD3">
              <w:rPr>
                <w:rFonts w:ascii="Arial" w:hAnsi="Arial" w:cs="Arial"/>
              </w:rPr>
              <w:t>Ventajas de los MASC frente a las formas tradicionales de resolver conflictos: acceso, eficiencia, participación ciudadana, tranquilidad, ahorro de tiempo y dinero.</w:t>
            </w:r>
          </w:p>
          <w:p w:rsidR="008628A2" w:rsidRPr="001D7BD3" w:rsidRDefault="008628A2" w:rsidP="008628A2">
            <w:pPr>
              <w:numPr>
                <w:ilvl w:val="0"/>
                <w:numId w:val="43"/>
              </w:numPr>
              <w:jc w:val="both"/>
              <w:rPr>
                <w:rFonts w:ascii="Arial" w:hAnsi="Arial" w:cs="Arial"/>
              </w:rPr>
            </w:pPr>
            <w:r w:rsidRPr="001D7BD3">
              <w:rPr>
                <w:rFonts w:ascii="Arial" w:hAnsi="Arial" w:cs="Arial"/>
              </w:rPr>
              <w:t>Generación de una nueva cultura, lenguaje de satisfacción de necesidades, comunicación, control de la actuación y sus resultados.</w:t>
            </w:r>
          </w:p>
          <w:p w:rsidR="008628A2" w:rsidRPr="001D7BD3" w:rsidRDefault="008628A2" w:rsidP="008628A2">
            <w:pPr>
              <w:numPr>
                <w:ilvl w:val="0"/>
                <w:numId w:val="43"/>
              </w:numPr>
              <w:jc w:val="both"/>
              <w:rPr>
                <w:rFonts w:ascii="Arial" w:hAnsi="Arial" w:cs="Arial"/>
              </w:rPr>
            </w:pPr>
            <w:r w:rsidRPr="001D7BD3">
              <w:rPr>
                <w:rFonts w:ascii="Arial" w:hAnsi="Arial" w:cs="Arial"/>
              </w:rPr>
              <w:t>Efectos de los MASC</w:t>
            </w:r>
          </w:p>
          <w:p w:rsidR="008628A2" w:rsidRPr="001D7BD3" w:rsidRDefault="008628A2" w:rsidP="008628A2">
            <w:pPr>
              <w:numPr>
                <w:ilvl w:val="0"/>
                <w:numId w:val="43"/>
              </w:numPr>
              <w:jc w:val="both"/>
              <w:rPr>
                <w:rFonts w:ascii="Arial" w:hAnsi="Arial" w:cs="Arial"/>
              </w:rPr>
            </w:pPr>
            <w:r w:rsidRPr="001D7BD3">
              <w:rPr>
                <w:rFonts w:ascii="Arial" w:hAnsi="Arial" w:cs="Arial"/>
              </w:rPr>
              <w:lastRenderedPageBreak/>
              <w:t>Entidades que prestan el servicio.</w:t>
            </w:r>
          </w:p>
          <w:p w:rsidR="008628A2" w:rsidRPr="001D7BD3" w:rsidRDefault="008628A2" w:rsidP="008628A2">
            <w:pPr>
              <w:numPr>
                <w:ilvl w:val="0"/>
                <w:numId w:val="43"/>
              </w:numPr>
              <w:jc w:val="both"/>
              <w:rPr>
                <w:rFonts w:ascii="Arial" w:hAnsi="Arial" w:cs="Arial"/>
              </w:rPr>
            </w:pPr>
            <w:r w:rsidRPr="001D7BD3">
              <w:rPr>
                <w:rFonts w:ascii="Arial" w:hAnsi="Arial" w:cs="Arial"/>
              </w:rPr>
              <w:t>Centros de conciliación, arbitramento, y amigable composición.</w:t>
            </w:r>
          </w:p>
          <w:p w:rsidR="008628A2" w:rsidRPr="001D7BD3" w:rsidRDefault="008628A2" w:rsidP="008628A2">
            <w:pPr>
              <w:numPr>
                <w:ilvl w:val="0"/>
                <w:numId w:val="43"/>
              </w:numPr>
              <w:jc w:val="both"/>
              <w:rPr>
                <w:rFonts w:ascii="Arial" w:hAnsi="Arial" w:cs="Arial"/>
              </w:rPr>
            </w:pPr>
            <w:r w:rsidRPr="001D7BD3">
              <w:rPr>
                <w:rFonts w:ascii="Arial" w:hAnsi="Arial" w:cs="Arial"/>
              </w:rPr>
              <w:t>Problemas que se pueden conciliar en un centro de conciliación, arbitramento y amigable composición.</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2"/>
              </w:numPr>
              <w:jc w:val="both"/>
              <w:rPr>
                <w:rFonts w:ascii="Arial" w:hAnsi="Arial" w:cs="Arial"/>
              </w:rPr>
            </w:pPr>
            <w:r w:rsidRPr="001D7BD3">
              <w:rPr>
                <w:rFonts w:ascii="Arial" w:hAnsi="Arial" w:cs="Arial"/>
              </w:rPr>
              <w:t>UNIDAD TERCERA: LA CONCILIACIÓN.</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3"/>
              </w:numPr>
              <w:jc w:val="both"/>
              <w:rPr>
                <w:rFonts w:ascii="Arial" w:hAnsi="Arial" w:cs="Arial"/>
              </w:rPr>
            </w:pPr>
            <w:r w:rsidRPr="001D7BD3">
              <w:rPr>
                <w:rFonts w:ascii="Arial" w:hAnsi="Arial" w:cs="Arial"/>
              </w:rPr>
              <w:t>Principios generales.</w:t>
            </w:r>
          </w:p>
          <w:p w:rsidR="008628A2" w:rsidRPr="001D7BD3" w:rsidRDefault="008628A2" w:rsidP="008628A2">
            <w:pPr>
              <w:numPr>
                <w:ilvl w:val="0"/>
                <w:numId w:val="43"/>
              </w:numPr>
              <w:jc w:val="both"/>
              <w:rPr>
                <w:rFonts w:ascii="Arial" w:hAnsi="Arial" w:cs="Arial"/>
              </w:rPr>
            </w:pPr>
            <w:r w:rsidRPr="001D7BD3">
              <w:rPr>
                <w:rFonts w:ascii="Arial" w:hAnsi="Arial" w:cs="Arial"/>
              </w:rPr>
              <w:t xml:space="preserve">Características </w:t>
            </w:r>
          </w:p>
          <w:p w:rsidR="008628A2" w:rsidRPr="001D7BD3" w:rsidRDefault="008628A2" w:rsidP="008628A2">
            <w:pPr>
              <w:numPr>
                <w:ilvl w:val="0"/>
                <w:numId w:val="43"/>
              </w:numPr>
              <w:jc w:val="both"/>
              <w:rPr>
                <w:rFonts w:ascii="Arial" w:hAnsi="Arial" w:cs="Arial"/>
              </w:rPr>
            </w:pPr>
            <w:r w:rsidRPr="001D7BD3">
              <w:rPr>
                <w:rFonts w:ascii="Arial" w:hAnsi="Arial" w:cs="Arial"/>
              </w:rPr>
              <w:t>Definición.</w:t>
            </w:r>
          </w:p>
          <w:p w:rsidR="008628A2" w:rsidRPr="001D7BD3" w:rsidRDefault="008628A2" w:rsidP="008628A2">
            <w:pPr>
              <w:numPr>
                <w:ilvl w:val="0"/>
                <w:numId w:val="43"/>
              </w:numPr>
              <w:jc w:val="both"/>
              <w:rPr>
                <w:rFonts w:ascii="Arial" w:hAnsi="Arial" w:cs="Arial"/>
              </w:rPr>
            </w:pPr>
            <w:r w:rsidRPr="001D7BD3">
              <w:rPr>
                <w:rFonts w:ascii="Arial" w:hAnsi="Arial" w:cs="Arial"/>
              </w:rPr>
              <w:t>Concepto jurídico y legal.</w:t>
            </w:r>
          </w:p>
          <w:p w:rsidR="008628A2" w:rsidRPr="001D7BD3" w:rsidRDefault="008628A2" w:rsidP="008628A2">
            <w:pPr>
              <w:numPr>
                <w:ilvl w:val="0"/>
                <w:numId w:val="43"/>
              </w:numPr>
              <w:jc w:val="both"/>
              <w:rPr>
                <w:rFonts w:ascii="Arial" w:hAnsi="Arial" w:cs="Arial"/>
              </w:rPr>
            </w:pPr>
            <w:r w:rsidRPr="001D7BD3">
              <w:rPr>
                <w:rFonts w:ascii="Arial" w:hAnsi="Arial" w:cs="Arial"/>
              </w:rPr>
              <w:t>Asuntos conciliables.</w:t>
            </w:r>
          </w:p>
          <w:p w:rsidR="008628A2" w:rsidRPr="001D7BD3" w:rsidRDefault="008628A2" w:rsidP="008628A2">
            <w:pPr>
              <w:numPr>
                <w:ilvl w:val="0"/>
                <w:numId w:val="43"/>
              </w:numPr>
              <w:jc w:val="both"/>
              <w:rPr>
                <w:rFonts w:ascii="Arial" w:hAnsi="Arial" w:cs="Arial"/>
              </w:rPr>
            </w:pPr>
            <w:r w:rsidRPr="001D7BD3">
              <w:rPr>
                <w:rFonts w:ascii="Arial" w:hAnsi="Arial" w:cs="Arial"/>
              </w:rPr>
              <w:t>Asuntos en los cuales la conciliación no es requisito de procedibilidad.</w:t>
            </w:r>
          </w:p>
          <w:p w:rsidR="008628A2" w:rsidRPr="001D7BD3" w:rsidRDefault="008628A2" w:rsidP="008628A2">
            <w:pPr>
              <w:numPr>
                <w:ilvl w:val="0"/>
                <w:numId w:val="43"/>
              </w:numPr>
              <w:jc w:val="both"/>
              <w:rPr>
                <w:rFonts w:ascii="Arial" w:hAnsi="Arial" w:cs="Arial"/>
              </w:rPr>
            </w:pPr>
            <w:r w:rsidRPr="001D7BD3">
              <w:rPr>
                <w:rFonts w:ascii="Arial" w:hAnsi="Arial" w:cs="Arial"/>
              </w:rPr>
              <w:t>Aspectos generales en procesos civiles, de familia en contencioso administrativo.</w:t>
            </w:r>
          </w:p>
          <w:p w:rsidR="008628A2" w:rsidRPr="001D7BD3" w:rsidRDefault="008628A2" w:rsidP="008628A2">
            <w:pPr>
              <w:numPr>
                <w:ilvl w:val="0"/>
                <w:numId w:val="43"/>
              </w:numPr>
              <w:jc w:val="both"/>
              <w:rPr>
                <w:rFonts w:ascii="Arial" w:hAnsi="Arial" w:cs="Arial"/>
              </w:rPr>
            </w:pPr>
            <w:r w:rsidRPr="001D7BD3">
              <w:rPr>
                <w:rFonts w:ascii="Arial" w:hAnsi="Arial" w:cs="Arial"/>
              </w:rPr>
              <w:t>Requisitos de existencia y validez de la conciliación.</w:t>
            </w:r>
          </w:p>
          <w:p w:rsidR="008628A2" w:rsidRPr="001D7BD3" w:rsidRDefault="008628A2" w:rsidP="008628A2">
            <w:pPr>
              <w:numPr>
                <w:ilvl w:val="0"/>
                <w:numId w:val="43"/>
              </w:numPr>
              <w:jc w:val="both"/>
              <w:rPr>
                <w:rFonts w:ascii="Arial" w:hAnsi="Arial" w:cs="Arial"/>
              </w:rPr>
            </w:pPr>
            <w:r w:rsidRPr="001D7BD3">
              <w:rPr>
                <w:rFonts w:ascii="Arial" w:hAnsi="Arial" w:cs="Arial"/>
              </w:rPr>
              <w:t>Elementos de su naturaleza y de su esencia.</w:t>
            </w:r>
          </w:p>
          <w:p w:rsidR="008628A2" w:rsidRPr="001D7BD3" w:rsidRDefault="008628A2" w:rsidP="008628A2">
            <w:pPr>
              <w:numPr>
                <w:ilvl w:val="0"/>
                <w:numId w:val="43"/>
              </w:numPr>
              <w:jc w:val="both"/>
              <w:rPr>
                <w:rFonts w:ascii="Arial" w:hAnsi="Arial" w:cs="Arial"/>
              </w:rPr>
            </w:pPr>
            <w:r w:rsidRPr="001D7BD3">
              <w:rPr>
                <w:rFonts w:ascii="Arial" w:hAnsi="Arial" w:cs="Arial"/>
              </w:rPr>
              <w:t>Efectos.</w:t>
            </w:r>
          </w:p>
          <w:p w:rsidR="008628A2" w:rsidRPr="001D7BD3" w:rsidRDefault="008628A2" w:rsidP="008628A2">
            <w:pPr>
              <w:numPr>
                <w:ilvl w:val="0"/>
                <w:numId w:val="43"/>
              </w:numPr>
              <w:jc w:val="both"/>
              <w:rPr>
                <w:rFonts w:ascii="Arial" w:hAnsi="Arial" w:cs="Arial"/>
              </w:rPr>
            </w:pPr>
            <w:r w:rsidRPr="001D7BD3">
              <w:rPr>
                <w:rFonts w:ascii="Arial" w:hAnsi="Arial" w:cs="Arial"/>
              </w:rPr>
              <w:t>Actas de conciliación.</w:t>
            </w:r>
          </w:p>
          <w:p w:rsidR="008628A2" w:rsidRPr="001D7BD3" w:rsidRDefault="008628A2" w:rsidP="008628A2">
            <w:pPr>
              <w:numPr>
                <w:ilvl w:val="0"/>
                <w:numId w:val="43"/>
              </w:numPr>
              <w:jc w:val="both"/>
              <w:rPr>
                <w:rFonts w:ascii="Arial" w:hAnsi="Arial" w:cs="Arial"/>
              </w:rPr>
            </w:pPr>
            <w:r w:rsidRPr="001D7BD3">
              <w:rPr>
                <w:rFonts w:ascii="Arial" w:hAnsi="Arial" w:cs="Arial"/>
              </w:rPr>
              <w:t>Clases de conciliación: Requisitos de procedibilidad, los conciliadores, calidad e inhabilidades, impedimentos y recusaciones.</w:t>
            </w:r>
          </w:p>
          <w:p w:rsidR="008628A2" w:rsidRPr="001D7BD3" w:rsidRDefault="008628A2" w:rsidP="008628A2">
            <w:pPr>
              <w:numPr>
                <w:ilvl w:val="0"/>
                <w:numId w:val="43"/>
              </w:numPr>
              <w:jc w:val="both"/>
              <w:rPr>
                <w:rFonts w:ascii="Arial" w:hAnsi="Arial" w:cs="Arial"/>
              </w:rPr>
            </w:pPr>
            <w:r w:rsidRPr="001D7BD3">
              <w:rPr>
                <w:rFonts w:ascii="Arial" w:hAnsi="Arial" w:cs="Arial"/>
              </w:rPr>
              <w:t>Centros de conciliación: creación, clases, obligaciones de los centros, sanciones.</w:t>
            </w:r>
          </w:p>
          <w:p w:rsidR="008628A2" w:rsidRPr="001D7BD3" w:rsidRDefault="008628A2" w:rsidP="008628A2">
            <w:pPr>
              <w:numPr>
                <w:ilvl w:val="0"/>
                <w:numId w:val="43"/>
              </w:numPr>
              <w:jc w:val="both"/>
              <w:rPr>
                <w:rFonts w:ascii="Arial" w:hAnsi="Arial" w:cs="Arial"/>
              </w:rPr>
            </w:pPr>
            <w:r w:rsidRPr="001D7BD3">
              <w:rPr>
                <w:rFonts w:ascii="Arial" w:hAnsi="Arial" w:cs="Arial"/>
              </w:rPr>
              <w:t>Estructura de los centros de conciliación: sujetos objeto.</w:t>
            </w:r>
          </w:p>
          <w:p w:rsidR="008628A2" w:rsidRPr="001D7BD3" w:rsidRDefault="008628A2" w:rsidP="008628A2">
            <w:pPr>
              <w:numPr>
                <w:ilvl w:val="0"/>
                <w:numId w:val="43"/>
              </w:numPr>
              <w:jc w:val="both"/>
              <w:rPr>
                <w:rFonts w:ascii="Arial" w:hAnsi="Arial" w:cs="Arial"/>
              </w:rPr>
            </w:pPr>
            <w:r w:rsidRPr="001D7BD3">
              <w:rPr>
                <w:rFonts w:ascii="Arial" w:hAnsi="Arial" w:cs="Arial"/>
              </w:rPr>
              <w:t>Etapas del proceso de conciliación: apertura, identificación del conflicto, negociación, mediada, cierre.</w:t>
            </w:r>
          </w:p>
          <w:p w:rsidR="008628A2" w:rsidRPr="001D7BD3" w:rsidRDefault="008628A2" w:rsidP="008628A2">
            <w:pPr>
              <w:numPr>
                <w:ilvl w:val="0"/>
                <w:numId w:val="43"/>
              </w:numPr>
              <w:jc w:val="both"/>
              <w:rPr>
                <w:rFonts w:ascii="Arial" w:hAnsi="Arial" w:cs="Arial"/>
              </w:rPr>
            </w:pPr>
            <w:r w:rsidRPr="001D7BD3">
              <w:rPr>
                <w:rFonts w:ascii="Arial" w:hAnsi="Arial" w:cs="Arial"/>
              </w:rPr>
              <w:t>Técnicas de conciliación: casos.</w:t>
            </w:r>
          </w:p>
          <w:p w:rsidR="008628A2" w:rsidRPr="001D7BD3" w:rsidRDefault="008628A2" w:rsidP="008628A2">
            <w:pPr>
              <w:numPr>
                <w:ilvl w:val="0"/>
                <w:numId w:val="43"/>
              </w:numPr>
              <w:jc w:val="both"/>
              <w:rPr>
                <w:rFonts w:ascii="Arial" w:hAnsi="Arial" w:cs="Arial"/>
              </w:rPr>
            </w:pPr>
            <w:r w:rsidRPr="001D7BD3">
              <w:rPr>
                <w:rFonts w:ascii="Arial" w:hAnsi="Arial" w:cs="Arial"/>
              </w:rPr>
              <w:t>La conciliación en las diferentes ramas del derecho, en asuntos y procesos civiles, en derecho de familia, en derecho comercial, en derecho administrativo, en derecho laboral, en derecho penal, en asunto de transito.</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2"/>
              </w:numPr>
              <w:jc w:val="both"/>
              <w:rPr>
                <w:rFonts w:ascii="Arial" w:hAnsi="Arial" w:cs="Arial"/>
              </w:rPr>
            </w:pPr>
            <w:r w:rsidRPr="001D7BD3">
              <w:rPr>
                <w:rFonts w:ascii="Arial" w:hAnsi="Arial" w:cs="Arial"/>
              </w:rPr>
              <w:t>UNIDAD CUARTA: EL ARBITRAMENTO.</w:t>
            </w:r>
          </w:p>
          <w:p w:rsidR="008628A2" w:rsidRPr="001D7BD3" w:rsidRDefault="008628A2" w:rsidP="008628A2">
            <w:pPr>
              <w:ind w:left="720"/>
              <w:jc w:val="both"/>
              <w:rPr>
                <w:rFonts w:ascii="Arial" w:hAnsi="Arial" w:cs="Arial"/>
              </w:rPr>
            </w:pPr>
          </w:p>
          <w:p w:rsidR="008628A2" w:rsidRPr="001D7BD3" w:rsidRDefault="008628A2" w:rsidP="008628A2">
            <w:pPr>
              <w:numPr>
                <w:ilvl w:val="0"/>
                <w:numId w:val="43"/>
              </w:numPr>
              <w:jc w:val="both"/>
              <w:rPr>
                <w:rFonts w:ascii="Arial" w:hAnsi="Arial" w:cs="Arial"/>
              </w:rPr>
            </w:pPr>
            <w:r w:rsidRPr="001D7BD3">
              <w:rPr>
                <w:rFonts w:ascii="Arial" w:hAnsi="Arial" w:cs="Arial"/>
              </w:rPr>
              <w:t>Antecedentes históricos.</w:t>
            </w:r>
          </w:p>
          <w:p w:rsidR="008628A2" w:rsidRPr="001D7BD3" w:rsidRDefault="008628A2" w:rsidP="008628A2">
            <w:pPr>
              <w:numPr>
                <w:ilvl w:val="0"/>
                <w:numId w:val="43"/>
              </w:numPr>
              <w:jc w:val="both"/>
              <w:rPr>
                <w:rFonts w:ascii="Arial" w:hAnsi="Arial" w:cs="Arial"/>
              </w:rPr>
            </w:pPr>
            <w:r w:rsidRPr="001D7BD3">
              <w:rPr>
                <w:rFonts w:ascii="Arial" w:hAnsi="Arial" w:cs="Arial"/>
              </w:rPr>
              <w:t>Principios generales.</w:t>
            </w:r>
          </w:p>
          <w:p w:rsidR="008628A2" w:rsidRPr="001D7BD3" w:rsidRDefault="008628A2" w:rsidP="008628A2">
            <w:pPr>
              <w:numPr>
                <w:ilvl w:val="0"/>
                <w:numId w:val="43"/>
              </w:numPr>
              <w:jc w:val="both"/>
              <w:rPr>
                <w:rFonts w:ascii="Arial" w:hAnsi="Arial" w:cs="Arial"/>
              </w:rPr>
            </w:pPr>
            <w:r w:rsidRPr="001D7BD3">
              <w:rPr>
                <w:rFonts w:ascii="Arial" w:hAnsi="Arial" w:cs="Arial"/>
              </w:rPr>
              <w:t>Definición.</w:t>
            </w:r>
          </w:p>
          <w:p w:rsidR="008628A2" w:rsidRPr="001D7BD3" w:rsidRDefault="008628A2" w:rsidP="008628A2">
            <w:pPr>
              <w:numPr>
                <w:ilvl w:val="0"/>
                <w:numId w:val="43"/>
              </w:numPr>
              <w:jc w:val="both"/>
              <w:rPr>
                <w:rFonts w:ascii="Arial" w:hAnsi="Arial" w:cs="Arial"/>
              </w:rPr>
            </w:pPr>
            <w:r w:rsidRPr="001D7BD3">
              <w:rPr>
                <w:rFonts w:ascii="Arial" w:hAnsi="Arial" w:cs="Arial"/>
              </w:rPr>
              <w:t>Fundamento constitucional y legal.</w:t>
            </w:r>
          </w:p>
          <w:p w:rsidR="008628A2" w:rsidRPr="001D7BD3" w:rsidRDefault="008628A2" w:rsidP="008628A2">
            <w:pPr>
              <w:numPr>
                <w:ilvl w:val="0"/>
                <w:numId w:val="43"/>
              </w:numPr>
              <w:jc w:val="both"/>
              <w:rPr>
                <w:rFonts w:ascii="Arial" w:hAnsi="Arial" w:cs="Arial"/>
              </w:rPr>
            </w:pPr>
            <w:r w:rsidRPr="001D7BD3">
              <w:rPr>
                <w:rFonts w:ascii="Arial" w:hAnsi="Arial" w:cs="Arial"/>
              </w:rPr>
              <w:t>Concepto.</w:t>
            </w:r>
          </w:p>
          <w:p w:rsidR="008628A2" w:rsidRPr="001D7BD3" w:rsidRDefault="008628A2" w:rsidP="008628A2">
            <w:pPr>
              <w:numPr>
                <w:ilvl w:val="0"/>
                <w:numId w:val="43"/>
              </w:numPr>
              <w:jc w:val="both"/>
              <w:rPr>
                <w:rFonts w:ascii="Arial" w:hAnsi="Arial" w:cs="Arial"/>
              </w:rPr>
            </w:pPr>
            <w:r w:rsidRPr="001D7BD3">
              <w:rPr>
                <w:rFonts w:ascii="Arial" w:hAnsi="Arial" w:cs="Arial"/>
              </w:rPr>
              <w:t>Ventajas y desventajas.</w:t>
            </w:r>
          </w:p>
          <w:p w:rsidR="008628A2" w:rsidRPr="001D7BD3" w:rsidRDefault="008628A2" w:rsidP="008628A2">
            <w:pPr>
              <w:numPr>
                <w:ilvl w:val="0"/>
                <w:numId w:val="43"/>
              </w:numPr>
              <w:jc w:val="both"/>
              <w:rPr>
                <w:rFonts w:ascii="Arial" w:hAnsi="Arial" w:cs="Arial"/>
              </w:rPr>
            </w:pPr>
            <w:r w:rsidRPr="001D7BD3">
              <w:rPr>
                <w:rFonts w:ascii="Arial" w:hAnsi="Arial" w:cs="Arial"/>
              </w:rPr>
              <w:t>Diferencias con figuras afines.</w:t>
            </w:r>
          </w:p>
          <w:p w:rsidR="008628A2" w:rsidRPr="001D7BD3" w:rsidRDefault="008628A2" w:rsidP="008628A2">
            <w:pPr>
              <w:numPr>
                <w:ilvl w:val="0"/>
                <w:numId w:val="43"/>
              </w:numPr>
              <w:jc w:val="both"/>
              <w:rPr>
                <w:rFonts w:ascii="Arial" w:hAnsi="Arial" w:cs="Arial"/>
              </w:rPr>
            </w:pPr>
            <w:r w:rsidRPr="001D7BD3">
              <w:rPr>
                <w:rFonts w:ascii="Arial" w:hAnsi="Arial" w:cs="Arial"/>
              </w:rPr>
              <w:t>Naturaleza jurídica</w:t>
            </w:r>
          </w:p>
          <w:p w:rsidR="008628A2" w:rsidRPr="001D7BD3" w:rsidRDefault="008628A2" w:rsidP="008628A2">
            <w:pPr>
              <w:numPr>
                <w:ilvl w:val="0"/>
                <w:numId w:val="43"/>
              </w:numPr>
              <w:jc w:val="both"/>
              <w:rPr>
                <w:rFonts w:ascii="Arial" w:hAnsi="Arial" w:cs="Arial"/>
              </w:rPr>
            </w:pPr>
            <w:r w:rsidRPr="001D7BD3">
              <w:rPr>
                <w:rFonts w:ascii="Arial" w:hAnsi="Arial" w:cs="Arial"/>
              </w:rPr>
              <w:t>Teorías doctrinales sobre la naturaleza jurídica.</w:t>
            </w:r>
          </w:p>
          <w:p w:rsidR="008628A2" w:rsidRPr="001D7BD3" w:rsidRDefault="008628A2" w:rsidP="008628A2">
            <w:pPr>
              <w:numPr>
                <w:ilvl w:val="0"/>
                <w:numId w:val="43"/>
              </w:numPr>
              <w:jc w:val="both"/>
              <w:rPr>
                <w:rFonts w:ascii="Arial" w:hAnsi="Arial" w:cs="Arial"/>
              </w:rPr>
            </w:pPr>
            <w:r w:rsidRPr="001D7BD3">
              <w:rPr>
                <w:rFonts w:ascii="Arial" w:hAnsi="Arial" w:cs="Arial"/>
              </w:rPr>
              <w:t>Controversia dirimibles en proceso arbitral.</w:t>
            </w:r>
          </w:p>
          <w:p w:rsidR="008628A2" w:rsidRPr="001D7BD3" w:rsidRDefault="008628A2" w:rsidP="008628A2">
            <w:pPr>
              <w:numPr>
                <w:ilvl w:val="0"/>
                <w:numId w:val="43"/>
              </w:numPr>
              <w:jc w:val="both"/>
              <w:rPr>
                <w:rFonts w:ascii="Arial" w:hAnsi="Arial" w:cs="Arial"/>
              </w:rPr>
            </w:pPr>
            <w:r w:rsidRPr="001D7BD3">
              <w:rPr>
                <w:rFonts w:ascii="Arial" w:hAnsi="Arial" w:cs="Arial"/>
              </w:rPr>
              <w:t>Pacto arbitral</w:t>
            </w:r>
          </w:p>
          <w:p w:rsidR="008628A2" w:rsidRPr="001D7BD3" w:rsidRDefault="008628A2" w:rsidP="008628A2">
            <w:pPr>
              <w:numPr>
                <w:ilvl w:val="0"/>
                <w:numId w:val="43"/>
              </w:numPr>
              <w:jc w:val="both"/>
              <w:rPr>
                <w:rFonts w:ascii="Arial" w:hAnsi="Arial" w:cs="Arial"/>
              </w:rPr>
            </w:pPr>
            <w:r w:rsidRPr="001D7BD3">
              <w:rPr>
                <w:rFonts w:ascii="Arial" w:hAnsi="Arial" w:cs="Arial"/>
              </w:rPr>
              <w:t>Fuentes formales del arbitraje en el derecho colombiano.</w:t>
            </w:r>
          </w:p>
          <w:p w:rsidR="008628A2" w:rsidRPr="001D7BD3" w:rsidRDefault="008628A2" w:rsidP="008628A2">
            <w:pPr>
              <w:numPr>
                <w:ilvl w:val="0"/>
                <w:numId w:val="43"/>
              </w:numPr>
              <w:jc w:val="both"/>
              <w:rPr>
                <w:rFonts w:ascii="Arial" w:hAnsi="Arial" w:cs="Arial"/>
              </w:rPr>
            </w:pPr>
            <w:r w:rsidRPr="001D7BD3">
              <w:rPr>
                <w:rFonts w:ascii="Arial" w:hAnsi="Arial" w:cs="Arial"/>
              </w:rPr>
              <w:t>Compromiso y cláusula compromisoria, definición y diferencias</w:t>
            </w:r>
          </w:p>
          <w:p w:rsidR="008628A2" w:rsidRPr="001D7BD3" w:rsidRDefault="008628A2" w:rsidP="008628A2">
            <w:pPr>
              <w:numPr>
                <w:ilvl w:val="0"/>
                <w:numId w:val="43"/>
              </w:numPr>
              <w:jc w:val="both"/>
              <w:rPr>
                <w:rFonts w:ascii="Arial" w:hAnsi="Arial" w:cs="Arial"/>
              </w:rPr>
            </w:pPr>
            <w:r w:rsidRPr="001D7BD3">
              <w:rPr>
                <w:rFonts w:ascii="Arial" w:hAnsi="Arial" w:cs="Arial"/>
              </w:rPr>
              <w:t>El objeto arbitral</w:t>
            </w:r>
          </w:p>
          <w:p w:rsidR="008628A2" w:rsidRPr="001D7BD3" w:rsidRDefault="008628A2" w:rsidP="008628A2">
            <w:pPr>
              <w:numPr>
                <w:ilvl w:val="0"/>
                <w:numId w:val="43"/>
              </w:numPr>
              <w:jc w:val="both"/>
              <w:rPr>
                <w:rFonts w:ascii="Arial" w:hAnsi="Arial" w:cs="Arial"/>
              </w:rPr>
            </w:pPr>
            <w:r w:rsidRPr="001D7BD3">
              <w:rPr>
                <w:rFonts w:ascii="Arial" w:hAnsi="Arial" w:cs="Arial"/>
              </w:rPr>
              <w:t>Designación, remoción, impedimentos y recusaciones, deberes y facultades y responsabilidades de los árbitros.</w:t>
            </w:r>
          </w:p>
          <w:p w:rsidR="008628A2" w:rsidRPr="001D7BD3" w:rsidRDefault="008628A2" w:rsidP="008628A2">
            <w:pPr>
              <w:numPr>
                <w:ilvl w:val="0"/>
                <w:numId w:val="43"/>
              </w:numPr>
              <w:jc w:val="both"/>
              <w:rPr>
                <w:rFonts w:ascii="Arial" w:hAnsi="Arial" w:cs="Arial"/>
              </w:rPr>
            </w:pPr>
            <w:r w:rsidRPr="001D7BD3">
              <w:rPr>
                <w:rFonts w:ascii="Arial" w:hAnsi="Arial" w:cs="Arial"/>
              </w:rPr>
              <w:lastRenderedPageBreak/>
              <w:t>El proceso arbitral, solicitud de convocatoria y trámite.</w:t>
            </w:r>
          </w:p>
          <w:p w:rsidR="008628A2" w:rsidRPr="001D7BD3" w:rsidRDefault="008628A2" w:rsidP="008628A2">
            <w:pPr>
              <w:numPr>
                <w:ilvl w:val="0"/>
                <w:numId w:val="43"/>
              </w:numPr>
              <w:jc w:val="both"/>
              <w:rPr>
                <w:rFonts w:ascii="Arial" w:hAnsi="Arial" w:cs="Arial"/>
              </w:rPr>
            </w:pPr>
            <w:r w:rsidRPr="001D7BD3">
              <w:rPr>
                <w:rFonts w:ascii="Arial" w:hAnsi="Arial" w:cs="Arial"/>
              </w:rPr>
              <w:t>Audiencia de conciliación</w:t>
            </w:r>
          </w:p>
          <w:p w:rsidR="008628A2" w:rsidRPr="001D7BD3" w:rsidRDefault="008628A2" w:rsidP="008628A2">
            <w:pPr>
              <w:numPr>
                <w:ilvl w:val="0"/>
                <w:numId w:val="43"/>
              </w:numPr>
              <w:jc w:val="both"/>
              <w:rPr>
                <w:rFonts w:ascii="Arial" w:hAnsi="Arial" w:cs="Arial"/>
              </w:rPr>
            </w:pPr>
            <w:r w:rsidRPr="001D7BD3">
              <w:rPr>
                <w:rFonts w:ascii="Arial" w:hAnsi="Arial" w:cs="Arial"/>
              </w:rPr>
              <w:t>Integración e instalación del Tribunal de Arbitramento.</w:t>
            </w:r>
          </w:p>
          <w:p w:rsidR="008628A2" w:rsidRPr="001D7BD3" w:rsidRDefault="008628A2" w:rsidP="008628A2">
            <w:pPr>
              <w:numPr>
                <w:ilvl w:val="0"/>
                <w:numId w:val="43"/>
              </w:numPr>
              <w:jc w:val="both"/>
              <w:rPr>
                <w:rFonts w:ascii="Arial" w:hAnsi="Arial" w:cs="Arial"/>
              </w:rPr>
            </w:pPr>
            <w:r w:rsidRPr="001D7BD3">
              <w:rPr>
                <w:rFonts w:ascii="Arial" w:hAnsi="Arial" w:cs="Arial"/>
              </w:rPr>
              <w:t>Honorarios de los árbitros.</w:t>
            </w:r>
          </w:p>
          <w:p w:rsidR="008628A2" w:rsidRPr="001D7BD3" w:rsidRDefault="008628A2" w:rsidP="008628A2">
            <w:pPr>
              <w:numPr>
                <w:ilvl w:val="0"/>
                <w:numId w:val="43"/>
              </w:numPr>
              <w:jc w:val="both"/>
              <w:rPr>
                <w:rFonts w:ascii="Arial" w:hAnsi="Arial" w:cs="Arial"/>
              </w:rPr>
            </w:pPr>
            <w:r w:rsidRPr="001D7BD3">
              <w:rPr>
                <w:rFonts w:ascii="Arial" w:hAnsi="Arial" w:cs="Arial"/>
              </w:rPr>
              <w:t>Primera audiencia de trámite.</w:t>
            </w:r>
          </w:p>
          <w:p w:rsidR="008628A2" w:rsidRPr="001D7BD3" w:rsidRDefault="008628A2" w:rsidP="008628A2">
            <w:pPr>
              <w:numPr>
                <w:ilvl w:val="0"/>
                <w:numId w:val="43"/>
              </w:numPr>
              <w:jc w:val="both"/>
              <w:rPr>
                <w:rFonts w:ascii="Arial" w:hAnsi="Arial" w:cs="Arial"/>
              </w:rPr>
            </w:pPr>
            <w:r w:rsidRPr="001D7BD3">
              <w:rPr>
                <w:rFonts w:ascii="Arial" w:hAnsi="Arial" w:cs="Arial"/>
              </w:rPr>
              <w:t>Pruebas en el proceso arbitral.</w:t>
            </w:r>
          </w:p>
          <w:p w:rsidR="008628A2" w:rsidRPr="001D7BD3" w:rsidRDefault="008628A2" w:rsidP="008628A2">
            <w:pPr>
              <w:numPr>
                <w:ilvl w:val="0"/>
                <w:numId w:val="43"/>
              </w:numPr>
              <w:jc w:val="both"/>
              <w:rPr>
                <w:rFonts w:ascii="Arial" w:hAnsi="Arial" w:cs="Arial"/>
              </w:rPr>
            </w:pPr>
            <w:r w:rsidRPr="001D7BD3">
              <w:rPr>
                <w:rFonts w:ascii="Arial" w:hAnsi="Arial" w:cs="Arial"/>
              </w:rPr>
              <w:t>El laudo: costas, notificación, aclaración, corrección.</w:t>
            </w:r>
          </w:p>
          <w:p w:rsidR="005307D9" w:rsidRPr="008628A2" w:rsidRDefault="008628A2" w:rsidP="008628A2">
            <w:pPr>
              <w:numPr>
                <w:ilvl w:val="0"/>
                <w:numId w:val="43"/>
              </w:numPr>
              <w:jc w:val="both"/>
              <w:rPr>
                <w:rFonts w:ascii="Arial" w:hAnsi="Arial" w:cs="Arial"/>
              </w:rPr>
            </w:pPr>
            <w:r w:rsidRPr="001D7BD3">
              <w:rPr>
                <w:rFonts w:ascii="Arial" w:hAnsi="Arial" w:cs="Arial"/>
              </w:rPr>
              <w:t>Impugnación del laudo: recurso extraordinario de anulación y recurso extraordinario de revisión.</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5307D9" w:rsidP="00E525ED">
            <w:pPr>
              <w:rPr>
                <w:rFonts w:ascii="Arial" w:hAnsi="Arial" w:cs="Arial"/>
                <w:color w:val="0F243E" w:themeColor="text2" w:themeShade="80"/>
              </w:rPr>
            </w:pP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8162F4" w:rsidRPr="00981D18" w:rsidRDefault="008162F4" w:rsidP="008162F4">
            <w:pPr>
              <w:jc w:val="both"/>
              <w:rPr>
                <w:lang w:val="es-AR"/>
              </w:rPr>
            </w:pPr>
            <w:r w:rsidRPr="00981D18">
              <w:rPr>
                <w:lang w:val="es-AR"/>
              </w:rPr>
              <w:t>Es atinada la materia de mecanismos alternativos de solución de conflictos como está planteada en el módulo privado en el curso de sexto semestre, por cuanto a estas alturas el alumno tiene un conocimiento bastante amplio respecto de las normas sustanciales y procesales del derecho privado, pudie</w:t>
            </w:r>
            <w:r>
              <w:rPr>
                <w:lang w:val="es-AR"/>
              </w:rPr>
              <w:t>ndo aplicar ampliamente los MASC</w:t>
            </w:r>
            <w:r w:rsidRPr="00981D18">
              <w:rPr>
                <w:lang w:val="es-AR"/>
              </w:rPr>
              <w:t xml:space="preserve"> a cada una de las materias, a fin de solucionar conflictos de manera rápida y eficaz.  De igual forma el estudiante podrá tener la visión integral, amplia y correcta de los asuntos que son susceptibles jurídicamente de ser resueltos a través de estos procesos que también podemos denominar de carácter especial.</w:t>
            </w:r>
          </w:p>
          <w:p w:rsidR="009D3B04" w:rsidRPr="008162F4" w:rsidRDefault="009D3B04" w:rsidP="00CC21F3">
            <w:pPr>
              <w:rPr>
                <w:rFonts w:ascii="Arial" w:hAnsi="Arial" w:cs="Arial"/>
                <w:color w:val="0F243E" w:themeColor="text2" w:themeShade="80"/>
                <w:lang w:val="es-AR"/>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8162F4" w:rsidRDefault="008628A2" w:rsidP="008628A2">
            <w:pPr>
              <w:spacing w:line="100" w:lineRule="atLeast"/>
              <w:jc w:val="both"/>
              <w:rPr>
                <w:rFonts w:ascii="Arial" w:hAnsi="Arial" w:cs="Arial"/>
              </w:rPr>
            </w:pPr>
            <w:r>
              <w:rPr>
                <w:rFonts w:ascii="Arial" w:hAnsi="Arial" w:cs="Arial"/>
              </w:rPr>
              <w:t>La estrategia metodológica adoptada por la universidad supone la elaboración de guías que recojan lo acontecido en las sesiones de tutoría y de trabajo personalizado del estudiante, para ello se planea valorar cada encuentro del docente con los estudiante e manera que su actividad encuentre representación evaluativo constante. Para cumplir con los reglamentos estudiantiles a la fecha de corte correspondiente se contabilizarán los resultados y logros obtenidos por los estudiantes para expresar numéricamente el valor de su rendimiento, y como nota de examen final se sumará el esfuerzo semestral condensado en un trabajo semestral que permita verificar la ocurrencia positiva de los logros generales de la disciplina del conocimiento que ocupo el trabajo académico dentro del semestre</w:t>
            </w:r>
          </w:p>
          <w:p w:rsidR="008162F4" w:rsidRDefault="008162F4" w:rsidP="008162F4">
            <w:pPr>
              <w:jc w:val="both"/>
              <w:rPr>
                <w:lang w:val="es-AR"/>
              </w:rPr>
            </w:pPr>
          </w:p>
          <w:p w:rsidR="008162F4" w:rsidRPr="008162F4" w:rsidRDefault="008162F4" w:rsidP="008162F4">
            <w:pPr>
              <w:jc w:val="both"/>
              <w:rPr>
                <w:rFonts w:ascii="Arial" w:hAnsi="Arial" w:cs="Arial"/>
              </w:rPr>
            </w:pPr>
            <w:r w:rsidRPr="008162F4">
              <w:rPr>
                <w:rFonts w:ascii="Arial" w:hAnsi="Arial" w:cs="Arial"/>
              </w:rPr>
              <w:t>El primer corte del 35% se obtendrá con el producto de una evaluación escrita realizada en las fechas que para el efecto la Universidad en su calendario académico ha establecido donde se evaluará principalmente los mecanismos alternativos de solución de conflictos como lo son: mediación, transacción, amigable composición, conciliación y arbitramento.  Esta evaluación consistirá en que los estudiantes deberán tener conceptos claros respecto de las semejanzas y diferencias, características y competencias y definiciones de cada una de ellas, así mismo se obtendrá con la práctica de las tutorías, trabajos de acompañamiento, talleres  que se realicen en el respectivo corte.</w:t>
            </w:r>
          </w:p>
          <w:p w:rsidR="008162F4" w:rsidRPr="008162F4" w:rsidRDefault="008162F4" w:rsidP="008162F4">
            <w:pPr>
              <w:jc w:val="both"/>
              <w:rPr>
                <w:rFonts w:ascii="Arial" w:hAnsi="Arial" w:cs="Arial"/>
              </w:rPr>
            </w:pPr>
          </w:p>
          <w:p w:rsidR="008162F4" w:rsidRPr="008162F4" w:rsidRDefault="008162F4" w:rsidP="008162F4">
            <w:pPr>
              <w:jc w:val="both"/>
              <w:rPr>
                <w:rFonts w:ascii="Arial" w:hAnsi="Arial" w:cs="Arial"/>
              </w:rPr>
            </w:pPr>
            <w:r w:rsidRPr="008162F4">
              <w:rPr>
                <w:rFonts w:ascii="Arial" w:hAnsi="Arial" w:cs="Arial"/>
              </w:rPr>
              <w:t xml:space="preserve">El segundo corte del 35% se obtendrá con el producto de una evaluación escrita realizada </w:t>
            </w:r>
            <w:r w:rsidRPr="008162F4">
              <w:rPr>
                <w:rFonts w:ascii="Arial" w:hAnsi="Arial" w:cs="Arial"/>
              </w:rPr>
              <w:lastRenderedPageBreak/>
              <w:t>en las fechas que para el efecto de la universidad en su calendario académico ha establecido donde se evaluará principalmente el proceso arbitral.  Esta evaluación consistirá en que los estudiantes deberán tener conceptos claros respecto de las etapas de cada uno de los procesos, su duración, recursos y particularidades de cada una de ellas, así mismo se obtendrá con la práctica de las tutorías, trabajos de acompañamiento, talleres  que se realicen en el respectivo corte.</w:t>
            </w:r>
          </w:p>
          <w:p w:rsidR="008162F4" w:rsidRPr="008162F4" w:rsidRDefault="008162F4" w:rsidP="008162F4">
            <w:pPr>
              <w:ind w:left="-142"/>
              <w:jc w:val="both"/>
              <w:rPr>
                <w:rFonts w:ascii="Arial" w:hAnsi="Arial" w:cs="Arial"/>
              </w:rPr>
            </w:pPr>
          </w:p>
          <w:p w:rsidR="008162F4" w:rsidRPr="008162F4" w:rsidRDefault="008162F4" w:rsidP="008162F4">
            <w:pPr>
              <w:jc w:val="both"/>
              <w:rPr>
                <w:rFonts w:ascii="Arial" w:hAnsi="Arial" w:cs="Arial"/>
              </w:rPr>
            </w:pPr>
            <w:r w:rsidRPr="008162F4">
              <w:rPr>
                <w:rFonts w:ascii="Arial" w:hAnsi="Arial" w:cs="Arial"/>
              </w:rPr>
              <w:t>Examen 30%</w:t>
            </w:r>
          </w:p>
          <w:p w:rsidR="008162F4" w:rsidRPr="008162F4" w:rsidRDefault="008162F4" w:rsidP="008162F4">
            <w:pPr>
              <w:jc w:val="both"/>
              <w:rPr>
                <w:rFonts w:ascii="Arial" w:hAnsi="Arial" w:cs="Arial"/>
              </w:rPr>
            </w:pPr>
          </w:p>
          <w:p w:rsidR="008162F4" w:rsidRPr="008162F4" w:rsidRDefault="008162F4" w:rsidP="008162F4">
            <w:pPr>
              <w:jc w:val="both"/>
              <w:rPr>
                <w:rFonts w:ascii="Arial" w:hAnsi="Arial" w:cs="Arial"/>
              </w:rPr>
            </w:pPr>
            <w:r w:rsidRPr="008162F4">
              <w:rPr>
                <w:rFonts w:ascii="Arial" w:hAnsi="Arial" w:cs="Arial"/>
              </w:rPr>
              <w:t>La integración de todas estas valoraciones da como resultado la calificación sumativa. El seguimiento valorativo proporciona igualmente criterios formativos, que posibilitan al docente guía y a los estudiantes corregir el rumbo metodológico, re direccionar o tomar decisiones sobre que porciones textuales privilegiar.</w:t>
            </w:r>
          </w:p>
          <w:p w:rsidR="008162F4" w:rsidRPr="008162F4" w:rsidRDefault="008162F4" w:rsidP="008162F4">
            <w:pPr>
              <w:jc w:val="both"/>
              <w:rPr>
                <w:rFonts w:ascii="Arial" w:hAnsi="Arial" w:cs="Arial"/>
              </w:rPr>
            </w:pPr>
          </w:p>
          <w:p w:rsidR="008162F4" w:rsidRPr="008162F4" w:rsidRDefault="008162F4" w:rsidP="008162F4">
            <w:pPr>
              <w:jc w:val="both"/>
              <w:rPr>
                <w:rFonts w:ascii="Arial" w:hAnsi="Arial" w:cs="Arial"/>
              </w:rPr>
            </w:pPr>
            <w:r w:rsidRPr="008162F4">
              <w:rPr>
                <w:rFonts w:ascii="Arial" w:hAnsi="Arial" w:cs="Arial"/>
              </w:rPr>
              <w:t>Se evaluara la aprehensión de los contenidos de cada texto, el alcance de las competencias dogmáticas, argumentativas, criticas, investigativas y propositivas obtenidas por cada estudiante, especialmente la aplicación que sobre el mismo se realice de una manera responsable, idónea y justificativa, desechando la mera opinión y buscando una opción innovadora a la problemática presente.</w:t>
            </w:r>
          </w:p>
          <w:p w:rsidR="008628A2" w:rsidRDefault="008628A2" w:rsidP="008628A2">
            <w:pPr>
              <w:spacing w:line="100" w:lineRule="atLeast"/>
              <w:jc w:val="both"/>
              <w:rPr>
                <w:rFonts w:ascii="Arial" w:hAnsi="Arial" w:cs="Arial"/>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Pr="007F40E6"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8628A2" w:rsidRPr="00334B0B" w:rsidRDefault="008628A2" w:rsidP="008628A2">
            <w:pPr>
              <w:jc w:val="both"/>
              <w:rPr>
                <w:rFonts w:ascii="Arial" w:hAnsi="Arial" w:cs="Arial"/>
                <w:lang w:val="es-AR"/>
              </w:rPr>
            </w:pPr>
            <w:r w:rsidRPr="00334B0B">
              <w:rPr>
                <w:rFonts w:ascii="Arial" w:hAnsi="Arial" w:cs="Arial"/>
                <w:lang w:val="es-AR"/>
              </w:rPr>
              <w:t>Constitución Política de Colombia</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ALVAREZ VEJARANO, Claudia. Acuerdos de reestructuración, ley 550.</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BENETTI SALGAR, Julio.  El arbitraje en el derecho colombiano.</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CABANELLAS, Guillermo. Diccionario de derecho usual.</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CRISTANCHO, Juan Pablo. La conciliación y mecanismos alternativos de solución de conflictos.</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ECHEVERRY, Gil. La conciliación y su amigable composición.</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JUNTO, José Roberto.  La conciliación aspectos sustanciales y procesales.</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MORA, Nelson. Procesos especiales. Temis.</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DEVIS, Hernando.  Compendio de derecho procesal.</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MORALES, Hernando.  Curso de derecho procesal civil.</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REYES VILLAMIZAR, Francisco.  El concordato y la liquidación obligatoria.</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lastRenderedPageBreak/>
              <w:t>ROMERO DIAZ, Héctor, La conciliación</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Conferencias sobre MASC del Ministerio del Interior y de Justicia.</w:t>
            </w:r>
          </w:p>
          <w:p w:rsidR="008628A2" w:rsidRPr="00334B0B" w:rsidRDefault="008628A2" w:rsidP="008628A2">
            <w:pPr>
              <w:jc w:val="both"/>
              <w:rPr>
                <w:rFonts w:ascii="Arial" w:hAnsi="Arial" w:cs="Arial"/>
                <w:lang w:val="es-AR"/>
              </w:rPr>
            </w:pPr>
          </w:p>
          <w:p w:rsidR="008628A2" w:rsidRPr="00334B0B" w:rsidRDefault="008628A2" w:rsidP="008628A2">
            <w:pPr>
              <w:ind w:left="2552" w:hanging="2552"/>
              <w:jc w:val="both"/>
              <w:rPr>
                <w:rFonts w:ascii="Arial" w:hAnsi="Arial" w:cs="Arial"/>
                <w:lang w:val="es-AR"/>
              </w:rPr>
            </w:pPr>
            <w:r w:rsidRPr="00334B0B">
              <w:rPr>
                <w:rFonts w:ascii="Arial" w:hAnsi="Arial" w:cs="Arial"/>
                <w:lang w:val="es-AR"/>
              </w:rPr>
              <w:t>Decreto 2279 de 1989 – Por el cual se implementan sistemas de solución de conflictos   ARBITRAMENTO</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Decreto 2282  de 1989- art. 1 por el cual se modificó el art. 101 del C.P.C  </w:t>
            </w:r>
          </w:p>
          <w:p w:rsidR="008628A2" w:rsidRPr="00334B0B" w:rsidRDefault="008628A2" w:rsidP="008628A2">
            <w:pPr>
              <w:jc w:val="both"/>
              <w:rPr>
                <w:rFonts w:ascii="Arial" w:hAnsi="Arial" w:cs="Arial"/>
                <w:lang w:val="es-AR"/>
              </w:rPr>
            </w:pPr>
          </w:p>
          <w:p w:rsidR="008628A2" w:rsidRPr="00334B0B" w:rsidRDefault="008628A2" w:rsidP="008628A2">
            <w:pPr>
              <w:ind w:left="1560" w:hanging="1560"/>
              <w:jc w:val="both"/>
              <w:rPr>
                <w:rFonts w:ascii="Arial" w:hAnsi="Arial" w:cs="Arial"/>
                <w:lang w:val="es-AR"/>
              </w:rPr>
            </w:pPr>
            <w:r w:rsidRPr="00334B0B">
              <w:rPr>
                <w:rFonts w:ascii="Arial" w:hAnsi="Arial" w:cs="Arial"/>
                <w:lang w:val="es-AR"/>
              </w:rPr>
              <w:t xml:space="preserve">Ley 23 de 1991 – Por medio de la cual se crean mecanismos para descongestionar los despachos        judiciales </w:t>
            </w:r>
          </w:p>
          <w:p w:rsidR="008628A2" w:rsidRPr="00334B0B" w:rsidRDefault="008628A2" w:rsidP="008628A2">
            <w:pPr>
              <w:ind w:left="1560" w:hanging="1560"/>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Decreto 2651 de 1991 – Por el cual se expiden normas transitorias para descongestionar los despachos judiciales </w:t>
            </w:r>
          </w:p>
          <w:p w:rsidR="008628A2" w:rsidRPr="00334B0B" w:rsidRDefault="008628A2" w:rsidP="008628A2">
            <w:pPr>
              <w:ind w:left="1560" w:hanging="1560"/>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Ley 80 de 1993 – Estatuto general de contratación administrativa</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222 de 1995 – Por la cual se expide en nuevo régimen de procesos concursales </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270 de 1996 - Ley estatutaria de la administración de justicia </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446 de 1998.- Descongestión, eficiencia y acceso a la justicia </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472 de 1998 – Acciones populares y de grupo </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Decreto 1818 de 1998 – Estatuto de los MASC</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Ley 550 de 1999 - Ley de reactivación empresarial</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640 de 2001 – Por medio de la cual se modifica normas relativas a la Conciliación </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Ley 1116 de 2006. Régimen de insolvencia financiera.</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Ley 1285 de 2009 – Por medio de la cual se reforma la ley 270 de 1996</w:t>
            </w:r>
          </w:p>
          <w:p w:rsidR="008628A2" w:rsidRPr="00334B0B" w:rsidRDefault="008628A2" w:rsidP="008628A2">
            <w:pPr>
              <w:jc w:val="both"/>
              <w:rPr>
                <w:rFonts w:ascii="Arial" w:hAnsi="Arial" w:cs="Arial"/>
                <w:lang w:val="es-AR"/>
              </w:rPr>
            </w:pPr>
          </w:p>
          <w:p w:rsidR="008628A2" w:rsidRPr="00334B0B" w:rsidRDefault="008628A2" w:rsidP="008628A2">
            <w:pPr>
              <w:jc w:val="both"/>
              <w:rPr>
                <w:rFonts w:ascii="Arial" w:hAnsi="Arial" w:cs="Arial"/>
                <w:lang w:val="es-AR"/>
              </w:rPr>
            </w:pPr>
            <w:r w:rsidRPr="00334B0B">
              <w:rPr>
                <w:rFonts w:ascii="Arial" w:hAnsi="Arial" w:cs="Arial"/>
                <w:lang w:val="es-AR"/>
              </w:rPr>
              <w:t>Ley 1380 de 2010 – Régimen de insolvencia para personas naturales no comerciantes</w:t>
            </w:r>
            <w:r w:rsidR="004D2B25">
              <w:rPr>
                <w:rFonts w:ascii="Arial" w:hAnsi="Arial" w:cs="Arial"/>
                <w:lang w:val="es-AR"/>
              </w:rPr>
              <w:t xml:space="preserve"> declara inexequible por la sentencia C- 685 de 2011 </w:t>
            </w:r>
          </w:p>
          <w:p w:rsidR="008628A2" w:rsidRDefault="008628A2" w:rsidP="008628A2">
            <w:pPr>
              <w:jc w:val="both"/>
              <w:rPr>
                <w:lang w:val="es-AR"/>
              </w:rPr>
            </w:pPr>
          </w:p>
          <w:p w:rsidR="008628A2" w:rsidRPr="00334B0B" w:rsidRDefault="008628A2" w:rsidP="008628A2">
            <w:pPr>
              <w:jc w:val="both"/>
              <w:rPr>
                <w:rFonts w:ascii="Arial" w:hAnsi="Arial" w:cs="Arial"/>
                <w:lang w:val="es-AR"/>
              </w:rPr>
            </w:pPr>
            <w:r w:rsidRPr="00334B0B">
              <w:rPr>
                <w:rFonts w:ascii="Arial" w:hAnsi="Arial" w:cs="Arial"/>
                <w:lang w:val="es-AR"/>
              </w:rPr>
              <w:t xml:space="preserve">Ley 1395 de 2010 – Descongestión de los despachos judiciales </w:t>
            </w:r>
          </w:p>
          <w:p w:rsidR="008628A2" w:rsidRDefault="008628A2" w:rsidP="008628A2">
            <w:pPr>
              <w:jc w:val="both"/>
              <w:rPr>
                <w:lang w:val="es-AR"/>
              </w:rPr>
            </w:pPr>
          </w:p>
          <w:p w:rsidR="008628A2" w:rsidRDefault="008628A2" w:rsidP="008628A2">
            <w:pPr>
              <w:jc w:val="both"/>
              <w:rPr>
                <w:rFonts w:ascii="Arial" w:hAnsi="Arial" w:cs="Arial"/>
                <w:lang w:val="es-AR"/>
              </w:rPr>
            </w:pPr>
            <w:r>
              <w:rPr>
                <w:rFonts w:ascii="Arial" w:hAnsi="Arial" w:cs="Arial"/>
                <w:lang w:val="es-AR"/>
              </w:rPr>
              <w:t xml:space="preserve">Ley 1437 de 2011- Nuevo código de procedimiento administrativo </w:t>
            </w:r>
          </w:p>
          <w:p w:rsidR="008628A2" w:rsidRDefault="008628A2" w:rsidP="008628A2">
            <w:pPr>
              <w:jc w:val="both"/>
              <w:rPr>
                <w:rFonts w:ascii="Arial" w:hAnsi="Arial" w:cs="Arial"/>
                <w:lang w:val="es-AR"/>
              </w:rPr>
            </w:pPr>
          </w:p>
          <w:p w:rsidR="008628A2" w:rsidRDefault="008628A2" w:rsidP="008628A2">
            <w:pPr>
              <w:jc w:val="both"/>
              <w:rPr>
                <w:rFonts w:ascii="Arial" w:hAnsi="Arial" w:cs="Arial"/>
                <w:lang w:val="es-AR"/>
              </w:rPr>
            </w:pPr>
            <w:r>
              <w:rPr>
                <w:rFonts w:ascii="Arial" w:hAnsi="Arial" w:cs="Arial"/>
                <w:lang w:val="es-AR"/>
              </w:rPr>
              <w:t xml:space="preserve">Ley 1563 de2012 – Estatuto del arbitraje Nacional e Internacional </w:t>
            </w:r>
          </w:p>
          <w:p w:rsidR="008628A2" w:rsidRDefault="008628A2" w:rsidP="008628A2">
            <w:pPr>
              <w:jc w:val="both"/>
              <w:rPr>
                <w:rFonts w:ascii="Arial" w:hAnsi="Arial" w:cs="Arial"/>
                <w:lang w:val="es-AR"/>
              </w:rPr>
            </w:pPr>
          </w:p>
          <w:p w:rsidR="008628A2" w:rsidRDefault="008628A2" w:rsidP="008628A2">
            <w:pPr>
              <w:jc w:val="both"/>
              <w:rPr>
                <w:rFonts w:ascii="Arial" w:hAnsi="Arial" w:cs="Arial"/>
                <w:lang w:val="es-AR"/>
              </w:rPr>
            </w:pPr>
            <w:r>
              <w:rPr>
                <w:rFonts w:ascii="Arial" w:hAnsi="Arial" w:cs="Arial"/>
                <w:lang w:val="es-AR"/>
              </w:rPr>
              <w:t xml:space="preserve">Decreto reglamentario 1716 de 2009-  Reglamentario de la ley 1285 de 2009 </w:t>
            </w:r>
          </w:p>
          <w:p w:rsidR="008628A2" w:rsidRDefault="008628A2" w:rsidP="008628A2">
            <w:pPr>
              <w:jc w:val="both"/>
              <w:rPr>
                <w:rFonts w:ascii="Arial" w:hAnsi="Arial" w:cs="Arial"/>
                <w:lang w:val="es-AR"/>
              </w:rPr>
            </w:pPr>
          </w:p>
          <w:p w:rsidR="008628A2" w:rsidRDefault="008628A2" w:rsidP="008628A2">
            <w:pPr>
              <w:jc w:val="both"/>
              <w:rPr>
                <w:rFonts w:ascii="Arial" w:hAnsi="Arial" w:cs="Arial"/>
                <w:lang w:val="es-AR"/>
              </w:rPr>
            </w:pPr>
            <w:r>
              <w:rPr>
                <w:rFonts w:ascii="Arial" w:hAnsi="Arial" w:cs="Arial"/>
                <w:lang w:val="es-AR"/>
              </w:rPr>
              <w:lastRenderedPageBreak/>
              <w:t xml:space="preserve">Sentencia C – 893 DE 2001- Corte Constitucional </w:t>
            </w:r>
          </w:p>
          <w:p w:rsidR="008628A2" w:rsidRDefault="008628A2" w:rsidP="008628A2">
            <w:pPr>
              <w:jc w:val="both"/>
              <w:rPr>
                <w:rFonts w:ascii="Arial" w:hAnsi="Arial" w:cs="Arial"/>
                <w:lang w:val="es-AR"/>
              </w:rPr>
            </w:pPr>
          </w:p>
          <w:p w:rsidR="009D3B04" w:rsidRDefault="008628A2" w:rsidP="008628A2">
            <w:pPr>
              <w:rPr>
                <w:rFonts w:ascii="Arial" w:hAnsi="Arial" w:cs="Arial"/>
                <w:lang w:val="es-AR"/>
              </w:rPr>
            </w:pPr>
            <w:r>
              <w:rPr>
                <w:rFonts w:ascii="Arial" w:hAnsi="Arial" w:cs="Arial"/>
                <w:lang w:val="es-AR"/>
              </w:rPr>
              <w:t>Sentencia C- 1195 de 2001 – Corte Constitucional</w:t>
            </w:r>
          </w:p>
          <w:p w:rsidR="008628A2" w:rsidRDefault="008628A2" w:rsidP="008628A2">
            <w:pPr>
              <w:rPr>
                <w:rFonts w:ascii="Arial" w:hAnsi="Arial" w:cs="Arial"/>
                <w:lang w:val="es-AR"/>
              </w:rPr>
            </w:pPr>
          </w:p>
          <w:p w:rsidR="008628A2" w:rsidRDefault="008628A2" w:rsidP="008628A2">
            <w:pPr>
              <w:rPr>
                <w:rFonts w:ascii="Arial" w:hAnsi="Arial" w:cs="Arial"/>
                <w:lang w:val="es-AR"/>
              </w:rPr>
            </w:pPr>
            <w:r>
              <w:rPr>
                <w:rFonts w:ascii="Arial" w:hAnsi="Arial" w:cs="Arial"/>
                <w:lang w:val="es-AR"/>
              </w:rPr>
              <w:t>Ley 1564 de 2012 CGP</w:t>
            </w:r>
          </w:p>
          <w:p w:rsidR="008628A2" w:rsidRDefault="008628A2" w:rsidP="008628A2">
            <w:pPr>
              <w:rPr>
                <w:rFonts w:ascii="Arial" w:hAnsi="Arial" w:cs="Arial"/>
                <w:lang w:val="es-AR"/>
              </w:rPr>
            </w:pPr>
          </w:p>
          <w:p w:rsidR="008628A2" w:rsidRDefault="008628A2" w:rsidP="008628A2">
            <w:pPr>
              <w:rPr>
                <w:rFonts w:ascii="Arial" w:hAnsi="Arial" w:cs="Arial"/>
                <w:lang w:val="es-AR"/>
              </w:rPr>
            </w:pPr>
            <w:r>
              <w:rPr>
                <w:rFonts w:ascii="Arial" w:hAnsi="Arial" w:cs="Arial"/>
                <w:lang w:val="es-AR"/>
              </w:rPr>
              <w:t>Ley 712 de 2001 por medio de la cual se reforma el Código Procesal del Trabajo</w:t>
            </w:r>
          </w:p>
          <w:p w:rsidR="008628A2" w:rsidRDefault="008628A2" w:rsidP="008628A2">
            <w:pPr>
              <w:rPr>
                <w:rFonts w:ascii="Arial" w:hAnsi="Arial" w:cs="Arial"/>
                <w:lang w:val="es-AR"/>
              </w:rPr>
            </w:pPr>
          </w:p>
          <w:p w:rsidR="008628A2" w:rsidRDefault="008628A2" w:rsidP="008628A2">
            <w:pPr>
              <w:rPr>
                <w:rFonts w:ascii="Arial" w:hAnsi="Arial" w:cs="Arial"/>
                <w:lang w:val="es-AR"/>
              </w:rPr>
            </w:pPr>
            <w:r>
              <w:rPr>
                <w:rFonts w:ascii="Arial" w:hAnsi="Arial" w:cs="Arial"/>
                <w:lang w:val="es-AR"/>
              </w:rPr>
              <w:t xml:space="preserve">Ley 1149 de 2007 por medio del cual se modifica la ley 712 del 2001 </w:t>
            </w:r>
          </w:p>
          <w:p w:rsidR="008628A2" w:rsidRDefault="008628A2" w:rsidP="008628A2">
            <w:pPr>
              <w:rPr>
                <w:rFonts w:ascii="Arial" w:hAnsi="Arial" w:cs="Arial"/>
                <w:lang w:val="es-AR"/>
              </w:rPr>
            </w:pPr>
          </w:p>
          <w:p w:rsidR="008628A2" w:rsidRDefault="008628A2" w:rsidP="008628A2">
            <w:pPr>
              <w:rPr>
                <w:rFonts w:ascii="Arial" w:hAnsi="Arial" w:cs="Arial"/>
                <w:lang w:val="es-AR"/>
              </w:rPr>
            </w:pPr>
            <w:r>
              <w:rPr>
                <w:rFonts w:ascii="Arial" w:hAnsi="Arial" w:cs="Arial"/>
                <w:lang w:val="es-AR"/>
              </w:rPr>
              <w:t>Decreto 2677 de 2012 por medio del cual se reglamenta el procedimiento de personas naturales no comerciantes</w:t>
            </w:r>
          </w:p>
          <w:p w:rsidR="004D2B25" w:rsidRDefault="004D2B25" w:rsidP="008628A2">
            <w:pPr>
              <w:rPr>
                <w:rFonts w:ascii="Arial" w:hAnsi="Arial" w:cs="Arial"/>
                <w:lang w:val="es-AR"/>
              </w:rPr>
            </w:pPr>
          </w:p>
          <w:p w:rsidR="004D2B25" w:rsidRDefault="004D2B25" w:rsidP="008628A2">
            <w:pPr>
              <w:rPr>
                <w:rFonts w:ascii="Arial" w:hAnsi="Arial" w:cs="Arial"/>
                <w:lang w:val="es-AR"/>
              </w:rPr>
            </w:pPr>
            <w:r>
              <w:rPr>
                <w:rFonts w:ascii="Arial" w:hAnsi="Arial" w:cs="Arial"/>
                <w:lang w:val="es-AR"/>
              </w:rPr>
              <w:t>Ley 906 de 2004 CPP</w:t>
            </w:r>
          </w:p>
          <w:p w:rsidR="004D2B25" w:rsidRDefault="004D2B25" w:rsidP="008628A2">
            <w:pPr>
              <w:rPr>
                <w:rFonts w:ascii="Arial" w:hAnsi="Arial" w:cs="Arial"/>
                <w:lang w:val="es-AR"/>
              </w:rPr>
            </w:pPr>
          </w:p>
          <w:p w:rsidR="004D2B25" w:rsidRDefault="004D2B25" w:rsidP="008628A2">
            <w:pPr>
              <w:rPr>
                <w:rFonts w:ascii="Arial" w:hAnsi="Arial" w:cs="Arial"/>
                <w:lang w:val="es-AR"/>
              </w:rPr>
            </w:pPr>
            <w:r>
              <w:rPr>
                <w:rFonts w:ascii="Arial" w:hAnsi="Arial" w:cs="Arial"/>
                <w:lang w:val="es-AR"/>
              </w:rPr>
              <w:t xml:space="preserve">Ley 1437 de 2011 CPACA </w:t>
            </w:r>
          </w:p>
          <w:p w:rsidR="004D2B25" w:rsidRDefault="004D2B25" w:rsidP="008628A2">
            <w:pPr>
              <w:rPr>
                <w:rFonts w:ascii="Arial" w:hAnsi="Arial" w:cs="Arial"/>
                <w:lang w:val="es-AR"/>
              </w:rPr>
            </w:pPr>
          </w:p>
          <w:p w:rsidR="004D2B25" w:rsidRDefault="004D2B25" w:rsidP="008628A2">
            <w:pPr>
              <w:rPr>
                <w:rFonts w:ascii="Arial" w:hAnsi="Arial" w:cs="Arial"/>
                <w:lang w:val="es-AR"/>
              </w:rPr>
            </w:pPr>
            <w:r>
              <w:rPr>
                <w:rFonts w:ascii="Arial" w:hAnsi="Arial" w:cs="Arial"/>
                <w:lang w:val="es-AR"/>
              </w:rPr>
              <w:t>Decreto 1829 de 2013 por el cual se reglamentan algunas disposiciones de las leyes 23 de 1991, 446 de 1998, 640 de 2001 y 1563 de 2012.</w:t>
            </w:r>
          </w:p>
          <w:p w:rsidR="008628A2" w:rsidRPr="007F40E6" w:rsidRDefault="008628A2" w:rsidP="008628A2">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p>
          <w:p w:rsidR="004D2B25" w:rsidRDefault="004D2B25" w:rsidP="00CC21F3">
            <w:pPr>
              <w:rPr>
                <w:rFonts w:ascii="Arial" w:hAnsi="Arial" w:cs="Arial"/>
                <w:b/>
                <w:color w:val="0F243E" w:themeColor="text2" w:themeShade="80"/>
              </w:rPr>
            </w:pP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55A" w:rsidRDefault="00E8255A">
      <w:r>
        <w:separator/>
      </w:r>
    </w:p>
  </w:endnote>
  <w:endnote w:type="continuationSeparator" w:id="0">
    <w:p w:rsidR="00E8255A" w:rsidRDefault="00E82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4F096B">
    <w:pPr>
      <w:pStyle w:val="Piedepgina"/>
    </w:pPr>
    <w:r>
      <w:rPr>
        <w:noProof/>
        <w:lang w:eastAsia="es-CO"/>
      </w:rPr>
      <mc:AlternateContent>
        <mc:Choice Requires="wps">
          <w:drawing>
            <wp:anchor distT="0" distB="0" distL="114300" distR="114300" simplePos="0" relativeHeight="251662336" behindDoc="0" locked="0" layoutInCell="1" allowOverlap="1">
              <wp:simplePos x="0" y="0"/>
              <wp:positionH relativeFrom="column">
                <wp:posOffset>551815</wp:posOffset>
              </wp:positionH>
              <wp:positionV relativeFrom="paragraph">
                <wp:posOffset>-320040</wp:posOffset>
              </wp:positionV>
              <wp:extent cx="4004310" cy="114554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114554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8255A" w:rsidP="00F60130">
                          <w:pPr>
                            <w:jc w:val="center"/>
                            <w:rPr>
                              <w:rFonts w:ascii="Myriad Pro" w:hAnsi="Myriad Pro"/>
                              <w:b/>
                              <w:sz w:val="16"/>
                              <w:szCs w:val="16"/>
                            </w:rPr>
                          </w:pPr>
                        </w:p>
                        <w:p w:rsidR="00133C1C" w:rsidRDefault="00E8255A"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90.2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E8255A" w:rsidP="00F60130">
                    <w:pPr>
                      <w:jc w:val="center"/>
                      <w:rPr>
                        <w:rFonts w:ascii="Myriad Pro" w:hAnsi="Myriad Pro"/>
                        <w:b/>
                        <w:sz w:val="16"/>
                        <w:szCs w:val="16"/>
                      </w:rPr>
                    </w:pPr>
                  </w:p>
                  <w:p w:rsidR="00133C1C" w:rsidRDefault="00E8255A"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55A" w:rsidRDefault="00E8255A">
      <w:r>
        <w:separator/>
      </w:r>
    </w:p>
  </w:footnote>
  <w:footnote w:type="continuationSeparator" w:id="0">
    <w:p w:rsidR="00E8255A" w:rsidRDefault="00E8255A">
      <w:r>
        <w:continuationSeparator/>
      </w:r>
    </w:p>
  </w:footnote>
  <w:footnote w:id="1">
    <w:p w:rsidR="008628A2" w:rsidRDefault="008628A2" w:rsidP="008628A2">
      <w:pPr>
        <w:pStyle w:val="Textonotapie"/>
        <w:jc w:val="both"/>
        <w:rPr>
          <w:rFonts w:ascii="Arial" w:hAnsi="Arial"/>
        </w:rPr>
      </w:pPr>
      <w:r>
        <w:rPr>
          <w:rStyle w:val="Smbolodenotaalpie"/>
          <w:rFonts w:ascii="Arial" w:hAnsi="Arial"/>
        </w:rPr>
        <w:footnoteRef/>
      </w:r>
      <w:r>
        <w:rPr>
          <w:rFonts w:ascii="Arial" w:hAnsi="Arial"/>
        </w:rPr>
        <w:t xml:space="preserve"> Revista “POR UNA ALTERNATIVA EN </w:t>
      </w:r>
      <w:smartTag w:uri="urn:schemas-microsoft-com:office:smarttags" w:element="PersonName">
        <w:smartTagPr>
          <w:attr w:name="ProductID" w:val="LA ENSE￑ANZA DEL"/>
        </w:smartTagPr>
        <w:r>
          <w:rPr>
            <w:rFonts w:ascii="Arial" w:hAnsi="Arial"/>
          </w:rPr>
          <w:t>LA ENSEÑANZA DEL</w:t>
        </w:r>
      </w:smartTag>
      <w:r>
        <w:rPr>
          <w:rFonts w:ascii="Arial" w:hAnsi="Arial"/>
        </w:rPr>
        <w:t xml:space="preserve"> DERECHO. “ Diez años del sistema modular. Universidad Santo Tomás, Facultad de Derecho y Ciencias Políticas, Bogotá 1986, página 5</w:t>
      </w:r>
    </w:p>
    <w:p w:rsidR="008628A2" w:rsidRDefault="008628A2" w:rsidP="008628A2">
      <w:pPr>
        <w:pStyle w:val="Textonotapie"/>
      </w:pPr>
    </w:p>
  </w:footnote>
  <w:footnote w:id="2">
    <w:p w:rsidR="008628A2" w:rsidRDefault="008628A2" w:rsidP="008628A2">
      <w:pPr>
        <w:pStyle w:val="Textonotapie"/>
        <w:rPr>
          <w:rFonts w:ascii="Arial" w:hAnsi="Arial"/>
        </w:rPr>
      </w:pPr>
      <w:r>
        <w:rPr>
          <w:rStyle w:val="Smbolodenotaalpie"/>
          <w:rFonts w:ascii="Arial" w:hAnsi="Arial"/>
        </w:rPr>
        <w:footnoteRef/>
      </w:r>
      <w:r>
        <w:rPr>
          <w:rFonts w:ascii="Arial" w:hAnsi="Arial"/>
        </w:rPr>
        <w:t xml:space="preserve">PresentaciónRevista Módulos Siglo XXI, Facultad de Derecho Universidad Santo Tomás, año 2002 No.42-47. Núcleos Problemáticos, página 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8255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4F096B">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347B16" w:rsidRPr="00532914">
                              <w:rPr>
                                <w:rFonts w:ascii="Tahoma" w:hAnsi="Tahoma" w:cs="Tahoma"/>
                                <w:bCs/>
                                <w:sz w:val="14"/>
                                <w:szCs w:val="12"/>
                              </w:rPr>
                              <w:fldChar w:fldCharType="begin"/>
                            </w:r>
                            <w:r w:rsidRPr="00532914">
                              <w:rPr>
                                <w:rFonts w:ascii="Tahoma" w:hAnsi="Tahoma" w:cs="Tahoma"/>
                                <w:bCs/>
                                <w:sz w:val="14"/>
                                <w:szCs w:val="12"/>
                              </w:rPr>
                              <w:instrText>PAGE</w:instrText>
                            </w:r>
                            <w:r w:rsidR="00347B16" w:rsidRPr="00532914">
                              <w:rPr>
                                <w:rFonts w:ascii="Tahoma" w:hAnsi="Tahoma" w:cs="Tahoma"/>
                                <w:bCs/>
                                <w:sz w:val="14"/>
                                <w:szCs w:val="12"/>
                              </w:rPr>
                              <w:fldChar w:fldCharType="separate"/>
                            </w:r>
                            <w:r w:rsidR="004F096B">
                              <w:rPr>
                                <w:rFonts w:ascii="Tahoma" w:hAnsi="Tahoma" w:cs="Tahoma"/>
                                <w:bCs/>
                                <w:noProof/>
                                <w:sz w:val="14"/>
                                <w:szCs w:val="12"/>
                              </w:rPr>
                              <w:t>1</w:t>
                            </w:r>
                            <w:r w:rsidR="00347B16" w:rsidRPr="00532914">
                              <w:rPr>
                                <w:rFonts w:ascii="Tahoma" w:hAnsi="Tahoma" w:cs="Tahoma"/>
                                <w:bCs/>
                                <w:sz w:val="14"/>
                                <w:szCs w:val="12"/>
                              </w:rPr>
                              <w:fldChar w:fldCharType="end"/>
                            </w:r>
                            <w:r w:rsidRPr="00532914">
                              <w:rPr>
                                <w:rFonts w:ascii="Tahoma" w:hAnsi="Tahoma" w:cs="Tahoma"/>
                                <w:sz w:val="14"/>
                                <w:szCs w:val="12"/>
                              </w:rPr>
                              <w:t xml:space="preserve"> de </w:t>
                            </w:r>
                            <w:r w:rsidR="00347B16" w:rsidRPr="00532914">
                              <w:rPr>
                                <w:rFonts w:ascii="Tahoma" w:hAnsi="Tahoma" w:cs="Tahoma"/>
                                <w:bCs/>
                                <w:sz w:val="14"/>
                                <w:szCs w:val="12"/>
                              </w:rPr>
                              <w:fldChar w:fldCharType="begin"/>
                            </w:r>
                            <w:r w:rsidRPr="00532914">
                              <w:rPr>
                                <w:rFonts w:ascii="Tahoma" w:hAnsi="Tahoma" w:cs="Tahoma"/>
                                <w:bCs/>
                                <w:sz w:val="14"/>
                                <w:szCs w:val="12"/>
                              </w:rPr>
                              <w:instrText>NUMPAGES</w:instrText>
                            </w:r>
                            <w:r w:rsidR="00347B16" w:rsidRPr="00532914">
                              <w:rPr>
                                <w:rFonts w:ascii="Tahoma" w:hAnsi="Tahoma" w:cs="Tahoma"/>
                                <w:bCs/>
                                <w:sz w:val="14"/>
                                <w:szCs w:val="12"/>
                              </w:rPr>
                              <w:fldChar w:fldCharType="separate"/>
                            </w:r>
                            <w:r w:rsidR="004F096B">
                              <w:rPr>
                                <w:rFonts w:ascii="Tahoma" w:hAnsi="Tahoma" w:cs="Tahoma"/>
                                <w:bCs/>
                                <w:noProof/>
                                <w:sz w:val="14"/>
                                <w:szCs w:val="12"/>
                              </w:rPr>
                              <w:t>12</w:t>
                            </w:r>
                            <w:r w:rsidR="00347B16"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sidRPr="00532914">
                        <w:rPr>
                          <w:rFonts w:ascii="Tahoma" w:hAnsi="Tahoma" w:cs="Tahoma"/>
                          <w:sz w:val="14"/>
                          <w:szCs w:val="12"/>
                        </w:rPr>
                        <w:t xml:space="preserve">Página </w:t>
                      </w:r>
                      <w:r w:rsidR="00347B16" w:rsidRPr="00532914">
                        <w:rPr>
                          <w:rFonts w:ascii="Tahoma" w:hAnsi="Tahoma" w:cs="Tahoma"/>
                          <w:bCs/>
                          <w:sz w:val="14"/>
                          <w:szCs w:val="12"/>
                        </w:rPr>
                        <w:fldChar w:fldCharType="begin"/>
                      </w:r>
                      <w:r w:rsidRPr="00532914">
                        <w:rPr>
                          <w:rFonts w:ascii="Tahoma" w:hAnsi="Tahoma" w:cs="Tahoma"/>
                          <w:bCs/>
                          <w:sz w:val="14"/>
                          <w:szCs w:val="12"/>
                        </w:rPr>
                        <w:instrText>PAGE</w:instrText>
                      </w:r>
                      <w:r w:rsidR="00347B16" w:rsidRPr="00532914">
                        <w:rPr>
                          <w:rFonts w:ascii="Tahoma" w:hAnsi="Tahoma" w:cs="Tahoma"/>
                          <w:bCs/>
                          <w:sz w:val="14"/>
                          <w:szCs w:val="12"/>
                        </w:rPr>
                        <w:fldChar w:fldCharType="separate"/>
                      </w:r>
                      <w:r w:rsidR="004F096B">
                        <w:rPr>
                          <w:rFonts w:ascii="Tahoma" w:hAnsi="Tahoma" w:cs="Tahoma"/>
                          <w:bCs/>
                          <w:noProof/>
                          <w:sz w:val="14"/>
                          <w:szCs w:val="12"/>
                        </w:rPr>
                        <w:t>1</w:t>
                      </w:r>
                      <w:r w:rsidR="00347B16" w:rsidRPr="00532914">
                        <w:rPr>
                          <w:rFonts w:ascii="Tahoma" w:hAnsi="Tahoma" w:cs="Tahoma"/>
                          <w:bCs/>
                          <w:sz w:val="14"/>
                          <w:szCs w:val="12"/>
                        </w:rPr>
                        <w:fldChar w:fldCharType="end"/>
                      </w:r>
                      <w:r w:rsidRPr="00532914">
                        <w:rPr>
                          <w:rFonts w:ascii="Tahoma" w:hAnsi="Tahoma" w:cs="Tahoma"/>
                          <w:sz w:val="14"/>
                          <w:szCs w:val="12"/>
                        </w:rPr>
                        <w:t xml:space="preserve"> de </w:t>
                      </w:r>
                      <w:r w:rsidR="00347B16" w:rsidRPr="00532914">
                        <w:rPr>
                          <w:rFonts w:ascii="Tahoma" w:hAnsi="Tahoma" w:cs="Tahoma"/>
                          <w:bCs/>
                          <w:sz w:val="14"/>
                          <w:szCs w:val="12"/>
                        </w:rPr>
                        <w:fldChar w:fldCharType="begin"/>
                      </w:r>
                      <w:r w:rsidRPr="00532914">
                        <w:rPr>
                          <w:rFonts w:ascii="Tahoma" w:hAnsi="Tahoma" w:cs="Tahoma"/>
                          <w:bCs/>
                          <w:sz w:val="14"/>
                          <w:szCs w:val="12"/>
                        </w:rPr>
                        <w:instrText>NUMPAGES</w:instrText>
                      </w:r>
                      <w:r w:rsidR="00347B16" w:rsidRPr="00532914">
                        <w:rPr>
                          <w:rFonts w:ascii="Tahoma" w:hAnsi="Tahoma" w:cs="Tahoma"/>
                          <w:bCs/>
                          <w:sz w:val="14"/>
                          <w:szCs w:val="12"/>
                        </w:rPr>
                        <w:fldChar w:fldCharType="separate"/>
                      </w:r>
                      <w:r w:rsidR="004F096B">
                        <w:rPr>
                          <w:rFonts w:ascii="Tahoma" w:hAnsi="Tahoma" w:cs="Tahoma"/>
                          <w:bCs/>
                          <w:noProof/>
                          <w:sz w:val="14"/>
                          <w:szCs w:val="12"/>
                        </w:rPr>
                        <w:t>12</w:t>
                      </w:r>
                      <w:r w:rsidR="00347B16"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E8255A">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0DD13D0"/>
    <w:multiLevelType w:val="multilevel"/>
    <w:tmpl w:val="5C6872F2"/>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DA219A"/>
    <w:multiLevelType w:val="hybridMultilevel"/>
    <w:tmpl w:val="F262203E"/>
    <w:lvl w:ilvl="0" w:tplc="D0222F10">
      <w:start w:val="3"/>
      <w:numFmt w:val="bullet"/>
      <w:lvlText w:val=""/>
      <w:lvlJc w:val="left"/>
      <w:pPr>
        <w:tabs>
          <w:tab w:val="num" w:pos="720"/>
        </w:tabs>
        <w:ind w:left="720" w:hanging="360"/>
      </w:pPr>
      <w:rPr>
        <w:rFonts w:ascii="Symbol" w:eastAsia="Times New Roman" w:hAnsi="Symbo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3">
    <w:nsid w:val="294A36BB"/>
    <w:multiLevelType w:val="hybridMultilevel"/>
    <w:tmpl w:val="8EF823D0"/>
    <w:lvl w:ilvl="0" w:tplc="800E358C">
      <w:start w:val="3"/>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4"/>
  </w:num>
  <w:num w:numId="3">
    <w:abstractNumId w:val="31"/>
  </w:num>
  <w:num w:numId="4">
    <w:abstractNumId w:val="42"/>
  </w:num>
  <w:num w:numId="5">
    <w:abstractNumId w:val="35"/>
  </w:num>
  <w:num w:numId="6">
    <w:abstractNumId w:val="24"/>
  </w:num>
  <w:num w:numId="7">
    <w:abstractNumId w:val="39"/>
  </w:num>
  <w:num w:numId="8">
    <w:abstractNumId w:val="29"/>
  </w:num>
  <w:num w:numId="9">
    <w:abstractNumId w:val="4"/>
  </w:num>
  <w:num w:numId="10">
    <w:abstractNumId w:val="28"/>
  </w:num>
  <w:num w:numId="11">
    <w:abstractNumId w:val="14"/>
  </w:num>
  <w:num w:numId="12">
    <w:abstractNumId w:val="8"/>
  </w:num>
  <w:num w:numId="13">
    <w:abstractNumId w:val="40"/>
  </w:num>
  <w:num w:numId="14">
    <w:abstractNumId w:val="30"/>
  </w:num>
  <w:num w:numId="15">
    <w:abstractNumId w:val="6"/>
  </w:num>
  <w:num w:numId="16">
    <w:abstractNumId w:val="26"/>
  </w:num>
  <w:num w:numId="17">
    <w:abstractNumId w:val="23"/>
  </w:num>
  <w:num w:numId="18">
    <w:abstractNumId w:val="41"/>
  </w:num>
  <w:num w:numId="19">
    <w:abstractNumId w:val="37"/>
  </w:num>
  <w:num w:numId="20">
    <w:abstractNumId w:val="22"/>
  </w:num>
  <w:num w:numId="21">
    <w:abstractNumId w:val="36"/>
  </w:num>
  <w:num w:numId="22">
    <w:abstractNumId w:val="7"/>
  </w:num>
  <w:num w:numId="23">
    <w:abstractNumId w:val="21"/>
  </w:num>
  <w:num w:numId="24">
    <w:abstractNumId w:val="25"/>
  </w:num>
  <w:num w:numId="25">
    <w:abstractNumId w:val="20"/>
  </w:num>
  <w:num w:numId="26">
    <w:abstractNumId w:val="27"/>
  </w:num>
  <w:num w:numId="27">
    <w:abstractNumId w:val="1"/>
  </w:num>
  <w:num w:numId="28">
    <w:abstractNumId w:val="2"/>
  </w:num>
  <w:num w:numId="29">
    <w:abstractNumId w:val="10"/>
  </w:num>
  <w:num w:numId="30">
    <w:abstractNumId w:val="3"/>
  </w:num>
  <w:num w:numId="31">
    <w:abstractNumId w:val="33"/>
  </w:num>
  <w:num w:numId="32">
    <w:abstractNumId w:val="32"/>
  </w:num>
  <w:num w:numId="33">
    <w:abstractNumId w:val="15"/>
  </w:num>
  <w:num w:numId="34">
    <w:abstractNumId w:val="16"/>
  </w:num>
  <w:num w:numId="35">
    <w:abstractNumId w:val="0"/>
  </w:num>
  <w:num w:numId="36">
    <w:abstractNumId w:val="38"/>
  </w:num>
  <w:num w:numId="37">
    <w:abstractNumId w:val="17"/>
  </w:num>
  <w:num w:numId="38">
    <w:abstractNumId w:val="9"/>
  </w:num>
  <w:num w:numId="39">
    <w:abstractNumId w:val="11"/>
  </w:num>
  <w:num w:numId="40">
    <w:abstractNumId w:val="19"/>
  </w:num>
  <w:num w:numId="41">
    <w:abstractNumId w:val="5"/>
  </w:num>
  <w:num w:numId="42">
    <w:abstractNumId w:val="12"/>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D75E7"/>
    <w:rsid w:val="001045BF"/>
    <w:rsid w:val="00210E82"/>
    <w:rsid w:val="00236726"/>
    <w:rsid w:val="00244DD7"/>
    <w:rsid w:val="00347B16"/>
    <w:rsid w:val="00373F2F"/>
    <w:rsid w:val="004A1D9A"/>
    <w:rsid w:val="004D2B25"/>
    <w:rsid w:val="004F096B"/>
    <w:rsid w:val="005275A5"/>
    <w:rsid w:val="005307D9"/>
    <w:rsid w:val="00623E53"/>
    <w:rsid w:val="00632BC7"/>
    <w:rsid w:val="007B7482"/>
    <w:rsid w:val="008162F4"/>
    <w:rsid w:val="008628A2"/>
    <w:rsid w:val="009D3B04"/>
    <w:rsid w:val="00A0083B"/>
    <w:rsid w:val="00A728D1"/>
    <w:rsid w:val="00B3659A"/>
    <w:rsid w:val="00B40717"/>
    <w:rsid w:val="00CC116E"/>
    <w:rsid w:val="00CD6BED"/>
    <w:rsid w:val="00D15C96"/>
    <w:rsid w:val="00D40E14"/>
    <w:rsid w:val="00D547A2"/>
    <w:rsid w:val="00D97B5F"/>
    <w:rsid w:val="00E50269"/>
    <w:rsid w:val="00E8255A"/>
    <w:rsid w:val="00F26635"/>
    <w:rsid w:val="00FA1F96"/>
    <w:rsid w:val="00FE7FF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unhideWhenUsed/>
    <w:rsid w:val="008628A2"/>
    <w:pPr>
      <w:suppressAutoHyphens/>
    </w:pPr>
    <w:rPr>
      <w:sz w:val="20"/>
      <w:szCs w:val="20"/>
      <w:lang w:eastAsia="es-MX"/>
    </w:rPr>
  </w:style>
  <w:style w:type="character" w:customStyle="1" w:styleId="TextonotapieCar">
    <w:name w:val="Texto nota pie Car"/>
    <w:basedOn w:val="Fuentedeprrafopredeter"/>
    <w:link w:val="Textonotapie"/>
    <w:rsid w:val="008628A2"/>
    <w:rPr>
      <w:rFonts w:ascii="Times New Roman" w:eastAsia="Times New Roman" w:hAnsi="Times New Roman" w:cs="Times New Roman"/>
      <w:sz w:val="20"/>
      <w:szCs w:val="20"/>
      <w:lang w:val="es-ES" w:eastAsia="es-MX"/>
    </w:rPr>
  </w:style>
  <w:style w:type="paragraph" w:customStyle="1" w:styleId="WW-Sangra2detindependiente">
    <w:name w:val="WW-Sangría 2 de t. independiente"/>
    <w:basedOn w:val="Normal"/>
    <w:rsid w:val="008628A2"/>
    <w:pPr>
      <w:suppressAutoHyphens/>
      <w:spacing w:after="120" w:line="480" w:lineRule="auto"/>
      <w:ind w:left="283" w:firstLine="1"/>
    </w:pPr>
    <w:rPr>
      <w:szCs w:val="20"/>
      <w:lang w:eastAsia="es-MX"/>
    </w:rPr>
  </w:style>
  <w:style w:type="character" w:customStyle="1" w:styleId="Smbolodenotaalpie">
    <w:name w:val="Símbolo de nota al pie"/>
    <w:rsid w:val="008628A2"/>
    <w:rPr>
      <w:vertAlign w:val="superscript"/>
    </w:rPr>
  </w:style>
  <w:style w:type="paragraph" w:styleId="Textoindependiente">
    <w:name w:val="Body Text"/>
    <w:basedOn w:val="Normal"/>
    <w:link w:val="TextoindependienteCar"/>
    <w:rsid w:val="008628A2"/>
    <w:pPr>
      <w:jc w:val="both"/>
    </w:pPr>
    <w:rPr>
      <w:sz w:val="22"/>
      <w:szCs w:val="20"/>
      <w:lang w:val="en-US"/>
    </w:rPr>
  </w:style>
  <w:style w:type="character" w:customStyle="1" w:styleId="TextoindependienteCar">
    <w:name w:val="Texto independiente Car"/>
    <w:basedOn w:val="Fuentedeprrafopredeter"/>
    <w:link w:val="Textoindependiente"/>
    <w:rsid w:val="008628A2"/>
    <w:rPr>
      <w:rFonts w:ascii="Times New Roman" w:eastAsia="Times New Roman" w:hAnsi="Times New Roman" w:cs="Times New Roman"/>
      <w:szCs w:val="20"/>
      <w:lang w:val="en-U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extonotapie">
    <w:name w:val="footnote text"/>
    <w:basedOn w:val="Normal"/>
    <w:link w:val="TextonotapieCar"/>
    <w:unhideWhenUsed/>
    <w:rsid w:val="008628A2"/>
    <w:pPr>
      <w:suppressAutoHyphens/>
    </w:pPr>
    <w:rPr>
      <w:sz w:val="20"/>
      <w:szCs w:val="20"/>
      <w:lang w:eastAsia="es-MX"/>
    </w:rPr>
  </w:style>
  <w:style w:type="character" w:customStyle="1" w:styleId="TextonotapieCar">
    <w:name w:val="Texto nota pie Car"/>
    <w:basedOn w:val="Fuentedeprrafopredeter"/>
    <w:link w:val="Textonotapie"/>
    <w:rsid w:val="008628A2"/>
    <w:rPr>
      <w:rFonts w:ascii="Times New Roman" w:eastAsia="Times New Roman" w:hAnsi="Times New Roman" w:cs="Times New Roman"/>
      <w:sz w:val="20"/>
      <w:szCs w:val="20"/>
      <w:lang w:val="es-ES" w:eastAsia="es-MX"/>
    </w:rPr>
  </w:style>
  <w:style w:type="paragraph" w:customStyle="1" w:styleId="WW-Sangra2detindependiente">
    <w:name w:val="WW-Sangría 2 de t. independiente"/>
    <w:basedOn w:val="Normal"/>
    <w:rsid w:val="008628A2"/>
    <w:pPr>
      <w:suppressAutoHyphens/>
      <w:spacing w:after="120" w:line="480" w:lineRule="auto"/>
      <w:ind w:left="283" w:firstLine="1"/>
    </w:pPr>
    <w:rPr>
      <w:szCs w:val="20"/>
      <w:lang w:eastAsia="es-MX"/>
    </w:rPr>
  </w:style>
  <w:style w:type="character" w:customStyle="1" w:styleId="Smbolodenotaalpie">
    <w:name w:val="Símbolo de nota al pie"/>
    <w:rsid w:val="008628A2"/>
    <w:rPr>
      <w:vertAlign w:val="superscript"/>
    </w:rPr>
  </w:style>
  <w:style w:type="paragraph" w:styleId="Textoindependiente">
    <w:name w:val="Body Text"/>
    <w:basedOn w:val="Normal"/>
    <w:link w:val="TextoindependienteCar"/>
    <w:rsid w:val="008628A2"/>
    <w:pPr>
      <w:jc w:val="both"/>
    </w:pPr>
    <w:rPr>
      <w:sz w:val="22"/>
      <w:szCs w:val="20"/>
      <w:lang w:val="en-US"/>
    </w:rPr>
  </w:style>
  <w:style w:type="character" w:customStyle="1" w:styleId="TextoindependienteCar">
    <w:name w:val="Texto independiente Car"/>
    <w:basedOn w:val="Fuentedeprrafopredeter"/>
    <w:link w:val="Textoindependiente"/>
    <w:rsid w:val="008628A2"/>
    <w:rPr>
      <w:rFonts w:ascii="Times New Roman" w:eastAsia="Times New Roman" w:hAnsi="Times New Roman" w:cs="Times New Roman"/>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E6CFA-8A63-4C93-B07F-3A182443A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3572</Words>
  <Characters>19648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2015-08-14T21:01:00Z</dcterms:created>
  <dcterms:modified xsi:type="dcterms:W3CDTF">2015-08-14T21:01:00Z</dcterms:modified>
</cp:coreProperties>
</file>